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20" w:rsidRPr="00B81C51" w:rsidRDefault="00B81C51" w:rsidP="00B81C51">
      <w:pPr>
        <w:spacing w:after="120" w:line="240" w:lineRule="auto"/>
        <w:jc w:val="center"/>
        <w:rPr>
          <w:rFonts w:cs="Times New Roman"/>
          <w:b/>
          <w:bCs/>
          <w:sz w:val="26"/>
          <w:szCs w:val="26"/>
        </w:rPr>
      </w:pPr>
      <w:bookmarkStart w:id="0" w:name="_GoBack"/>
      <w:r w:rsidRPr="00B81C51">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5pt;margin-top:0;width:102pt;height:69.3pt;z-index:251662336;mso-position-horizontal-relative:text;mso-position-vertical-relative:text;mso-width-relative:page;mso-height-relative:page">
            <v:imagedata r:id="rId8" o:title="RTCCL logo"/>
            <w10:wrap type="topAndBottom"/>
          </v:shape>
        </w:pict>
      </w:r>
      <w:bookmarkEnd w:id="0"/>
      <w:r>
        <w:rPr>
          <w:rFonts w:cs="Times New Roman"/>
          <w:b/>
          <w:bCs/>
          <w:sz w:val="24"/>
          <w:szCs w:val="24"/>
        </w:rPr>
        <w:br/>
      </w:r>
      <w:r w:rsidR="00F570CE" w:rsidRPr="00B81C51">
        <w:rPr>
          <w:rFonts w:cs="Times New Roman"/>
          <w:b/>
          <w:bCs/>
          <w:sz w:val="26"/>
          <w:szCs w:val="26"/>
        </w:rPr>
        <w:t>Building Capacity for Full Community Participation</w:t>
      </w:r>
      <w:r w:rsidR="007F1A33" w:rsidRPr="00B81C51">
        <w:rPr>
          <w:rFonts w:cs="Times New Roman"/>
          <w:b/>
          <w:bCs/>
          <w:sz w:val="26"/>
          <w:szCs w:val="26"/>
        </w:rPr>
        <w:t>:</w:t>
      </w:r>
    </w:p>
    <w:p w:rsidR="007F1A33" w:rsidRPr="00B81C51" w:rsidRDefault="007F1A33" w:rsidP="007F1A33">
      <w:pPr>
        <w:spacing w:after="120" w:line="240" w:lineRule="auto"/>
        <w:jc w:val="center"/>
        <w:rPr>
          <w:rFonts w:cs="Times New Roman"/>
          <w:sz w:val="26"/>
          <w:szCs w:val="26"/>
        </w:rPr>
      </w:pPr>
      <w:r w:rsidRPr="00B81C51">
        <w:rPr>
          <w:rFonts w:cs="Times New Roman"/>
          <w:b/>
          <w:bCs/>
          <w:sz w:val="26"/>
          <w:szCs w:val="26"/>
        </w:rPr>
        <w:t>Promoting and Documenting Changes in Programs, Practices, and Policies</w:t>
      </w:r>
    </w:p>
    <w:p w:rsidR="00A5258F" w:rsidRPr="00100E9E" w:rsidRDefault="00A5258F" w:rsidP="007F12E7">
      <w:pPr>
        <w:spacing w:after="120" w:line="240" w:lineRule="auto"/>
        <w:rPr>
          <w:rFonts w:cs="Times New Roman"/>
          <w:sz w:val="24"/>
          <w:szCs w:val="24"/>
          <w:u w:val="single"/>
        </w:rPr>
      </w:pPr>
      <w:r w:rsidRPr="00100E9E">
        <w:rPr>
          <w:rFonts w:cs="Times New Roman"/>
          <w:sz w:val="24"/>
          <w:szCs w:val="24"/>
          <w:u w:val="single"/>
        </w:rPr>
        <w:t>Introduction</w:t>
      </w:r>
    </w:p>
    <w:p w:rsidR="00A5258F" w:rsidRPr="00EE7696" w:rsidRDefault="00A5258F" w:rsidP="007F12E7">
      <w:pPr>
        <w:spacing w:after="120"/>
        <w:rPr>
          <w:rFonts w:cs="Times New Roman"/>
          <w:sz w:val="24"/>
          <w:szCs w:val="24"/>
        </w:rPr>
      </w:pPr>
      <w:r w:rsidRPr="00EE7696">
        <w:rPr>
          <w:rFonts w:cs="Times New Roman"/>
          <w:sz w:val="24"/>
          <w:szCs w:val="24"/>
        </w:rPr>
        <w:t xml:space="preserve">People with disabilities are one of the fastest growing minority populations in the U.S. (Institute of Medicine, 2003; Murray, et al., 2013; Nafukkho, Roessler, &amp; Kacirek, 2010). Laws such as the Rehabilitation Act of 1973, Fair Housing Amendments Act of 1988, </w:t>
      </w:r>
      <w:r w:rsidR="002B5560">
        <w:rPr>
          <w:rFonts w:cs="Times New Roman"/>
          <w:noProof/>
          <w:sz w:val="24"/>
          <w:szCs w:val="24"/>
        </w:rPr>
        <w:t>The Olmstead Decision</w:t>
      </w:r>
      <w:r w:rsidRPr="00EE7696">
        <w:rPr>
          <w:rFonts w:cs="Times New Roman"/>
          <w:noProof/>
          <w:sz w:val="24"/>
          <w:szCs w:val="24"/>
        </w:rPr>
        <w:t xml:space="preserve">, </w:t>
      </w:r>
      <w:r w:rsidRPr="00EE7696">
        <w:rPr>
          <w:rFonts w:cs="Times New Roman"/>
          <w:sz w:val="24"/>
          <w:szCs w:val="24"/>
        </w:rPr>
        <w:t xml:space="preserve">and </w:t>
      </w:r>
      <w:r w:rsidR="002B5560">
        <w:rPr>
          <w:rFonts w:cs="Times New Roman"/>
          <w:sz w:val="24"/>
          <w:szCs w:val="24"/>
        </w:rPr>
        <w:t xml:space="preserve">the </w:t>
      </w:r>
      <w:r w:rsidRPr="00EE7696">
        <w:rPr>
          <w:rFonts w:cs="Times New Roman"/>
          <w:sz w:val="24"/>
          <w:szCs w:val="24"/>
        </w:rPr>
        <w:t xml:space="preserve">Americans with Disabilities Act of 1990 were implemented to help people with disabilities move out of institutions, live more independently in the community, engage in the workforce, and live fulfilled lives. Despite these laws and increases in the quantity and quality of independent living support services, people with disabilities still encounter barriers that negatively affect their participation in community </w:t>
      </w:r>
      <w:r w:rsidR="00B2791B">
        <w:rPr>
          <w:rFonts w:cs="Times New Roman"/>
          <w:sz w:val="24"/>
          <w:szCs w:val="24"/>
        </w:rPr>
        <w:t xml:space="preserve">life </w:t>
      </w:r>
      <w:r w:rsidRPr="00EE7696">
        <w:rPr>
          <w:rFonts w:cs="Times New Roman"/>
          <w:sz w:val="24"/>
          <w:szCs w:val="24"/>
        </w:rPr>
        <w:t>(Hammel, Jones, Gossett, &amp; Morgan, 2015; Kessler Foundation, 2010; Murray et al., 2013; Noreau &amp; Boschen, 2010; White, Simpson, Gonda, Ravesloot, &amp; Coble, 2010; Rimmer &amp; Marques, 2012; WHO, 2011</w:t>
      </w:r>
      <w:r w:rsidRPr="00EE7696">
        <w:t>)</w:t>
      </w:r>
      <w:r w:rsidRPr="00EE7696">
        <w:rPr>
          <w:rFonts w:cs="Times New Roman"/>
          <w:sz w:val="24"/>
          <w:szCs w:val="24"/>
        </w:rPr>
        <w:t xml:space="preserve">. </w:t>
      </w:r>
    </w:p>
    <w:p w:rsidR="00A5258F" w:rsidRPr="00EE7696" w:rsidRDefault="00A5258F" w:rsidP="007F12E7">
      <w:pPr>
        <w:spacing w:after="120"/>
        <w:rPr>
          <w:rFonts w:cs="Times New Roman"/>
          <w:sz w:val="24"/>
          <w:szCs w:val="24"/>
        </w:rPr>
      </w:pPr>
      <w:r w:rsidRPr="00EE7696">
        <w:rPr>
          <w:rFonts w:cs="Times New Roman"/>
          <w:noProof/>
          <w:sz w:val="24"/>
          <w:szCs w:val="24"/>
        </w:rPr>
        <w:t>Under these laws, Centers for Independent Living were developed to provide services to empower consumers and promote i</w:t>
      </w:r>
      <w:r w:rsidR="00B2791B">
        <w:rPr>
          <w:rFonts w:cs="Times New Roman"/>
          <w:noProof/>
          <w:sz w:val="24"/>
          <w:szCs w:val="24"/>
        </w:rPr>
        <w:t>ndependent living; h</w:t>
      </w:r>
      <w:r w:rsidRPr="00EE7696">
        <w:rPr>
          <w:rFonts w:cs="Times New Roman"/>
          <w:noProof/>
          <w:sz w:val="24"/>
          <w:szCs w:val="24"/>
        </w:rPr>
        <w:t>owever, people with disabilities still report that they face barriers to full community participation and limited access to transportation, recreation, education, and employment opportunities (Hammel, et al., 2015; Kaye, Jans, &amp; Jones, 2011; Myers &amp; Ravelsoot, 2016; Newman, 2010; Rimmer &amp; Marques, 2012; Shields, Synnot, &amp; Barr, 2012; White et al., 2010). They may face difficulties transitioning from institutional settings to independent living in the community because of a lack of long-term support services. Even in community settings, people with disabilities may have difficulty leaving their res</w:t>
      </w:r>
      <w:r w:rsidR="002B5560">
        <w:rPr>
          <w:rFonts w:cs="Times New Roman"/>
          <w:noProof/>
          <w:sz w:val="24"/>
          <w:szCs w:val="24"/>
        </w:rPr>
        <w:t>idences and accessing sufficent</w:t>
      </w:r>
      <w:r w:rsidRPr="00EE7696">
        <w:rPr>
          <w:rFonts w:cs="Times New Roman"/>
          <w:noProof/>
          <w:sz w:val="24"/>
          <w:szCs w:val="24"/>
        </w:rPr>
        <w:t xml:space="preserve"> services to faciliate their engagement in the community (e.g., transportation, recreation, accessible buildings) (Gallagher, O’Donovan, Doyle, &amp; Desmond, 2011; Greiman &amp; Ravelsoot, 2016; Jans, Kaye, &amp; Jones, 2012; Myers &amp; Ravelsoot, 2016; White et al., 2010). </w:t>
      </w:r>
      <w:r w:rsidRPr="00EE7696">
        <w:rPr>
          <w:rFonts w:cs="Times New Roman"/>
          <w:sz w:val="24"/>
          <w:szCs w:val="24"/>
        </w:rPr>
        <w:t xml:space="preserve">Several recent national surveys show significant community participation disparities between people with and without disabilities. For example, only 21% of adults with disabilities ages 18-64 had full or part-time employment compared to 59% of the non-disabled population. Another poll found that of the approximately 31% of students with disabilities enrolled in post-secondary education, only 13% completed their degree. Furthermore, people with disabilities reported less satisfaction with levels of community participation and reported higher spending on medical and health-related issues than their non-disabled peers. These data suggest that consumers with disabilities still face significant barriers to increasing and maintaining community participation and living independently (Hammel, et al., 2015; Harris Interactive, 2010; Murray et al., 2013; Reichard, Stolze, &amp; Fox, 2011). </w:t>
      </w:r>
    </w:p>
    <w:p w:rsidR="00A5258F" w:rsidRPr="00EE7696" w:rsidRDefault="00A5258F" w:rsidP="007F12E7">
      <w:pPr>
        <w:spacing w:after="120"/>
        <w:rPr>
          <w:rFonts w:cs="Times New Roman"/>
          <w:sz w:val="24"/>
          <w:szCs w:val="24"/>
        </w:rPr>
      </w:pPr>
      <w:r w:rsidRPr="00EE7696">
        <w:rPr>
          <w:rFonts w:cs="Times New Roman"/>
          <w:sz w:val="24"/>
          <w:szCs w:val="24"/>
        </w:rPr>
        <w:lastRenderedPageBreak/>
        <w:t>What can be done to support participation of people with disabilities in their communities? Since the late 1970’s, Centers for Independent Living (CILs) have played an important role by promoting community participation and independent living (IL) skills for people with disabilities. This is accomplished in part by providing core independent living supports in five service areas, including: self-advocacy, peer counseling, IL skills training, information and referral, and transition (Ravesloot, White, &amp; Gonda, 2010).  One way to enhance community participation is to equip CILs with tools to improve their organizational and community-capacity building competencies (</w:t>
      </w:r>
      <w:r w:rsidRPr="00EE7696">
        <w:rPr>
          <w:rFonts w:cs="Times New Roman"/>
          <w:bCs/>
          <w:sz w:val="24"/>
          <w:szCs w:val="24"/>
        </w:rPr>
        <w:t xml:space="preserve">Woods, Watson-Thompson, et al, 2014; </w:t>
      </w:r>
      <w:r w:rsidRPr="00EE7696">
        <w:rPr>
          <w:rFonts w:cs="Times New Roman"/>
          <w:color w:val="000000"/>
          <w:sz w:val="24"/>
          <w:szCs w:val="24"/>
        </w:rPr>
        <w:t>Fawcett, Schultz, et al., 2013)</w:t>
      </w:r>
      <w:r w:rsidRPr="00EE7696">
        <w:rPr>
          <w:rFonts w:cs="Times New Roman"/>
          <w:sz w:val="24"/>
          <w:szCs w:val="24"/>
        </w:rPr>
        <w:t>. Improving these competencies can benefit the center and consumer with disabilities full community participation. For example, organizational and community-capacity building of CILs and community partners may improve the quality of CI</w:t>
      </w:r>
      <w:r w:rsidR="00525279">
        <w:rPr>
          <w:rFonts w:cs="Times New Roman"/>
          <w:sz w:val="24"/>
          <w:szCs w:val="24"/>
        </w:rPr>
        <w:t>L and community programs</w:t>
      </w:r>
      <w:r w:rsidRPr="00EE7696">
        <w:rPr>
          <w:rFonts w:cs="Times New Roman"/>
          <w:sz w:val="24"/>
          <w:szCs w:val="24"/>
        </w:rPr>
        <w:t xml:space="preserve"> and services provided leading to fuller participation in the community. Additionally, CILs may benefit from capacity building by increasing the number of organizations with which they collaborate extending their channels of influence in the community (</w:t>
      </w:r>
      <w:r w:rsidRPr="00EE7696">
        <w:rPr>
          <w:rFonts w:cs="Times New Roman"/>
          <w:snapToGrid w:val="0"/>
          <w:color w:val="000000"/>
          <w:sz w:val="24"/>
        </w:rPr>
        <w:t xml:space="preserve">Thompson, Fawcett, &amp; </w:t>
      </w:r>
      <w:r w:rsidR="00525279">
        <w:rPr>
          <w:rFonts w:cs="Times New Roman"/>
          <w:snapToGrid w:val="0"/>
          <w:color w:val="000000"/>
          <w:sz w:val="24"/>
          <w:szCs w:val="24"/>
        </w:rPr>
        <w:t>Schultz, 2008a</w:t>
      </w:r>
      <w:r w:rsidRPr="00EE7696">
        <w:rPr>
          <w:rFonts w:cs="Times New Roman"/>
          <w:sz w:val="24"/>
          <w:szCs w:val="24"/>
        </w:rPr>
        <w:t xml:space="preserve">).  </w:t>
      </w:r>
    </w:p>
    <w:p w:rsidR="00A5258F" w:rsidRPr="00EE7696" w:rsidRDefault="00A5258F" w:rsidP="007F12E7">
      <w:pPr>
        <w:spacing w:after="120"/>
        <w:rPr>
          <w:rFonts w:cs="Times New Roman"/>
          <w:sz w:val="24"/>
          <w:szCs w:val="24"/>
        </w:rPr>
      </w:pPr>
      <w:r w:rsidRPr="00EE7696">
        <w:rPr>
          <w:rFonts w:cs="Times New Roman"/>
          <w:sz w:val="24"/>
          <w:szCs w:val="24"/>
        </w:rPr>
        <w:t xml:space="preserve">There is evidence that the community also benefits from CILs community capacity-building activities. In the broadest sense, community capacity building can enhance a community’s “social capital” by including and engaging consumers in the community through volunteering, serving on non-profit boards and civic activities such as voting (Jacobson, Azzam, &amp; Baez, 2013; Rimmerman, 2013; Vornholt, Uitdewilligen, Nijhuis, 2013).  </w:t>
      </w:r>
    </w:p>
    <w:p w:rsidR="00723619" w:rsidRPr="00100E9E" w:rsidRDefault="00FE3693" w:rsidP="00A11B23">
      <w:pPr>
        <w:keepLines/>
        <w:tabs>
          <w:tab w:val="right" w:leader="dot" w:pos="9360"/>
        </w:tabs>
        <w:spacing w:after="120" w:line="240" w:lineRule="auto"/>
        <w:rPr>
          <w:rFonts w:cs="Times New Roman"/>
          <w:noProof/>
          <w:sz w:val="24"/>
          <w:szCs w:val="24"/>
        </w:rPr>
      </w:pPr>
      <w:r w:rsidRPr="00100E9E">
        <w:rPr>
          <w:rFonts w:cs="Times New Roman"/>
          <w:sz w:val="24"/>
          <w:szCs w:val="24"/>
        </w:rPr>
        <w:t xml:space="preserve">The purpose of this </w:t>
      </w:r>
      <w:r w:rsidR="00D42C9D" w:rsidRPr="00100E9E">
        <w:rPr>
          <w:rFonts w:cs="Times New Roman"/>
          <w:sz w:val="24"/>
          <w:szCs w:val="24"/>
        </w:rPr>
        <w:t>exploratory research project wa</w:t>
      </w:r>
      <w:r w:rsidRPr="00100E9E">
        <w:rPr>
          <w:rFonts w:cs="Times New Roman"/>
          <w:sz w:val="24"/>
          <w:szCs w:val="24"/>
        </w:rPr>
        <w:t xml:space="preserve">s to examine the effects of training </w:t>
      </w:r>
      <w:r w:rsidR="008E4674" w:rsidRPr="00100E9E">
        <w:rPr>
          <w:rFonts w:cs="Times New Roman"/>
          <w:sz w:val="24"/>
          <w:szCs w:val="24"/>
        </w:rPr>
        <w:t xml:space="preserve">to enhance </w:t>
      </w:r>
      <w:r w:rsidRPr="00100E9E">
        <w:rPr>
          <w:rFonts w:cs="Times New Roman"/>
          <w:sz w:val="24"/>
          <w:szCs w:val="24"/>
        </w:rPr>
        <w:t xml:space="preserve">core competencies </w:t>
      </w:r>
      <w:r w:rsidR="0011457E" w:rsidRPr="00100E9E">
        <w:rPr>
          <w:rFonts w:cs="Times New Roman"/>
          <w:sz w:val="24"/>
          <w:szCs w:val="24"/>
        </w:rPr>
        <w:t xml:space="preserve">(i.e., assessing community needs and resources, analyzing problems and goals, developing strategic and action plans, developing an intervention, increasing participation and membership and advocating for change) </w:t>
      </w:r>
      <w:r w:rsidRPr="00100E9E">
        <w:rPr>
          <w:rFonts w:cs="Times New Roman"/>
          <w:sz w:val="24"/>
          <w:szCs w:val="24"/>
        </w:rPr>
        <w:t>and</w:t>
      </w:r>
      <w:r w:rsidR="008E4674" w:rsidRPr="00100E9E">
        <w:rPr>
          <w:rFonts w:cs="Times New Roman"/>
          <w:sz w:val="24"/>
          <w:szCs w:val="24"/>
        </w:rPr>
        <w:t xml:space="preserve"> providing</w:t>
      </w:r>
      <w:r w:rsidRPr="00100E9E">
        <w:rPr>
          <w:rFonts w:cs="Times New Roman"/>
          <w:sz w:val="24"/>
          <w:szCs w:val="24"/>
        </w:rPr>
        <w:t xml:space="preserve"> technical assistance to </w:t>
      </w:r>
      <w:r w:rsidR="00723619" w:rsidRPr="00100E9E">
        <w:rPr>
          <w:rFonts w:cs="Times New Roman"/>
          <w:sz w:val="24"/>
          <w:szCs w:val="24"/>
        </w:rPr>
        <w:t>participating</w:t>
      </w:r>
      <w:r w:rsidR="0011457E" w:rsidRPr="00100E9E">
        <w:rPr>
          <w:rFonts w:cs="Times New Roman"/>
          <w:sz w:val="24"/>
          <w:szCs w:val="24"/>
        </w:rPr>
        <w:t xml:space="preserve"> </w:t>
      </w:r>
      <w:r w:rsidRPr="00100E9E">
        <w:rPr>
          <w:rFonts w:cs="Times New Roman"/>
          <w:sz w:val="24"/>
          <w:szCs w:val="24"/>
        </w:rPr>
        <w:t xml:space="preserve">CILs </w:t>
      </w:r>
      <w:r w:rsidR="0011457E" w:rsidRPr="00100E9E">
        <w:rPr>
          <w:rFonts w:cs="Times New Roman"/>
          <w:sz w:val="24"/>
          <w:szCs w:val="24"/>
        </w:rPr>
        <w:t>in federal regions VI and VII. The intent of th</w:t>
      </w:r>
      <w:r w:rsidR="008E4674" w:rsidRPr="00100E9E">
        <w:rPr>
          <w:rFonts w:cs="Times New Roman"/>
          <w:sz w:val="24"/>
          <w:szCs w:val="24"/>
        </w:rPr>
        <w:t>e</w:t>
      </w:r>
      <w:r w:rsidR="0011457E" w:rsidRPr="00100E9E">
        <w:rPr>
          <w:rFonts w:cs="Times New Roman"/>
          <w:sz w:val="24"/>
          <w:szCs w:val="24"/>
        </w:rPr>
        <w:t xml:space="preserve"> training and technical assistance was to </w:t>
      </w:r>
      <w:r w:rsidR="008E4674" w:rsidRPr="00100E9E">
        <w:rPr>
          <w:rFonts w:cs="Times New Roman"/>
          <w:sz w:val="24"/>
          <w:szCs w:val="24"/>
        </w:rPr>
        <w:t xml:space="preserve">enhance </w:t>
      </w:r>
      <w:r w:rsidR="00727EB7" w:rsidRPr="00100E9E">
        <w:rPr>
          <w:rFonts w:cs="Times New Roman"/>
          <w:sz w:val="24"/>
          <w:szCs w:val="24"/>
        </w:rPr>
        <w:t xml:space="preserve">community </w:t>
      </w:r>
      <w:r w:rsidR="008E4674" w:rsidRPr="00100E9E">
        <w:rPr>
          <w:rFonts w:cs="Times New Roman"/>
          <w:sz w:val="24"/>
          <w:szCs w:val="24"/>
        </w:rPr>
        <w:t>accomplishments, ultimately leading to improved</w:t>
      </w:r>
      <w:r w:rsidR="00727EB7" w:rsidRPr="00100E9E">
        <w:rPr>
          <w:rFonts w:cs="Times New Roman"/>
          <w:sz w:val="24"/>
          <w:szCs w:val="24"/>
        </w:rPr>
        <w:t xml:space="preserve"> outcomes </w:t>
      </w:r>
      <w:r w:rsidR="008E4674" w:rsidRPr="00100E9E">
        <w:rPr>
          <w:rFonts w:cs="Times New Roman"/>
          <w:sz w:val="24"/>
          <w:szCs w:val="24"/>
        </w:rPr>
        <w:t>for people</w:t>
      </w:r>
      <w:r w:rsidR="00727EB7" w:rsidRPr="00100E9E">
        <w:rPr>
          <w:rFonts w:cs="Times New Roman"/>
          <w:sz w:val="24"/>
          <w:szCs w:val="24"/>
        </w:rPr>
        <w:t xml:space="preserve"> with disabilities. </w:t>
      </w:r>
      <w:r w:rsidR="0011457E" w:rsidRPr="00100E9E">
        <w:rPr>
          <w:rFonts w:cs="Times New Roman"/>
          <w:sz w:val="24"/>
          <w:szCs w:val="24"/>
        </w:rPr>
        <w:t>The project also investigated the contextual and influen</w:t>
      </w:r>
      <w:r w:rsidR="0007209C">
        <w:rPr>
          <w:rFonts w:cs="Times New Roman"/>
          <w:sz w:val="24"/>
          <w:szCs w:val="24"/>
        </w:rPr>
        <w:t>cing factors that distinguished CILs</w:t>
      </w:r>
      <w:r w:rsidR="008E4674" w:rsidRPr="00100E9E">
        <w:rPr>
          <w:rFonts w:cs="Times New Roman"/>
          <w:sz w:val="24"/>
          <w:szCs w:val="24"/>
        </w:rPr>
        <w:t xml:space="preserve">’ </w:t>
      </w:r>
      <w:r w:rsidR="0011457E" w:rsidRPr="00100E9E">
        <w:rPr>
          <w:rFonts w:cs="Times New Roman"/>
          <w:sz w:val="24"/>
          <w:szCs w:val="24"/>
        </w:rPr>
        <w:t>ability to successfully implement community changes promot</w:t>
      </w:r>
      <w:r w:rsidR="008E4674" w:rsidRPr="00100E9E">
        <w:rPr>
          <w:rFonts w:cs="Times New Roman"/>
          <w:sz w:val="24"/>
          <w:szCs w:val="24"/>
        </w:rPr>
        <w:t>ing</w:t>
      </w:r>
      <w:r w:rsidR="0011457E" w:rsidRPr="00100E9E">
        <w:rPr>
          <w:rFonts w:cs="Times New Roman"/>
          <w:sz w:val="24"/>
          <w:szCs w:val="24"/>
        </w:rPr>
        <w:t xml:space="preserve"> full participation.</w:t>
      </w:r>
      <w:r w:rsidR="00A11B23">
        <w:rPr>
          <w:rFonts w:cs="Times New Roman"/>
          <w:sz w:val="24"/>
          <w:szCs w:val="24"/>
        </w:rPr>
        <w:t xml:space="preserve"> </w:t>
      </w:r>
      <w:r w:rsidR="00C72FBB" w:rsidRPr="00100E9E">
        <w:rPr>
          <w:rFonts w:cs="Times New Roman"/>
          <w:noProof/>
          <w:sz w:val="24"/>
          <w:szCs w:val="24"/>
        </w:rPr>
        <w:t>T</w:t>
      </w:r>
      <w:r w:rsidR="00735599" w:rsidRPr="00100E9E">
        <w:rPr>
          <w:rFonts w:cs="Times New Roman"/>
          <w:noProof/>
          <w:sz w:val="24"/>
          <w:szCs w:val="24"/>
        </w:rPr>
        <w:t>he project taught</w:t>
      </w:r>
      <w:r w:rsidR="00D42C9D" w:rsidRPr="00100E9E">
        <w:rPr>
          <w:rFonts w:cs="Times New Roman"/>
          <w:noProof/>
          <w:sz w:val="24"/>
          <w:szCs w:val="24"/>
        </w:rPr>
        <w:t xml:space="preserve"> part</w:t>
      </w:r>
      <w:r w:rsidR="0007209C">
        <w:rPr>
          <w:rFonts w:cs="Times New Roman"/>
          <w:noProof/>
          <w:sz w:val="24"/>
          <w:szCs w:val="24"/>
        </w:rPr>
        <w:t>n</w:t>
      </w:r>
      <w:r w:rsidR="00D42C9D" w:rsidRPr="00100E9E">
        <w:rPr>
          <w:rFonts w:cs="Times New Roman"/>
          <w:noProof/>
          <w:sz w:val="24"/>
          <w:szCs w:val="24"/>
        </w:rPr>
        <w:t xml:space="preserve">ering CILs how to </w:t>
      </w:r>
      <w:r w:rsidR="00A843A2" w:rsidRPr="00100E9E">
        <w:rPr>
          <w:rFonts w:cs="Times New Roman"/>
          <w:noProof/>
          <w:sz w:val="24"/>
          <w:szCs w:val="24"/>
        </w:rPr>
        <w:t xml:space="preserve">systematically document their accomplishments in </w:t>
      </w:r>
      <w:r w:rsidR="00735599" w:rsidRPr="00100E9E">
        <w:rPr>
          <w:rFonts w:cs="Times New Roman"/>
          <w:noProof/>
          <w:sz w:val="24"/>
          <w:szCs w:val="24"/>
        </w:rPr>
        <w:t>an online monitoring and evaluation system</w:t>
      </w:r>
      <w:r w:rsidR="00A843A2" w:rsidRPr="00100E9E">
        <w:rPr>
          <w:rFonts w:cs="Times New Roman"/>
          <w:noProof/>
          <w:sz w:val="24"/>
          <w:szCs w:val="24"/>
        </w:rPr>
        <w:t>, the Community Check Box (CCB)</w:t>
      </w:r>
      <w:r w:rsidR="005E389D" w:rsidRPr="00100E9E">
        <w:rPr>
          <w:rFonts w:cs="Times New Roman"/>
          <w:noProof/>
          <w:sz w:val="24"/>
          <w:szCs w:val="24"/>
        </w:rPr>
        <w:t>. The CILs utilized this data</w:t>
      </w:r>
      <w:r w:rsidR="00735599" w:rsidRPr="00100E9E">
        <w:rPr>
          <w:rFonts w:cs="Times New Roman"/>
          <w:noProof/>
          <w:sz w:val="24"/>
          <w:szCs w:val="24"/>
        </w:rPr>
        <w:t xml:space="preserve"> </w:t>
      </w:r>
      <w:r w:rsidR="00D42C9D" w:rsidRPr="00100E9E">
        <w:rPr>
          <w:rFonts w:cs="Times New Roman"/>
          <w:noProof/>
          <w:sz w:val="24"/>
          <w:szCs w:val="24"/>
        </w:rPr>
        <w:t xml:space="preserve">to help </w:t>
      </w:r>
      <w:r w:rsidR="00735599" w:rsidRPr="00100E9E">
        <w:rPr>
          <w:rFonts w:cs="Times New Roman"/>
          <w:noProof/>
          <w:sz w:val="24"/>
          <w:szCs w:val="24"/>
        </w:rPr>
        <w:t>assess their progress and adjust their performance</w:t>
      </w:r>
      <w:r w:rsidR="00D42C9D" w:rsidRPr="00100E9E">
        <w:rPr>
          <w:rFonts w:cs="Times New Roman"/>
          <w:noProof/>
          <w:sz w:val="24"/>
          <w:szCs w:val="24"/>
        </w:rPr>
        <w:t xml:space="preserve">. </w:t>
      </w:r>
    </w:p>
    <w:p w:rsidR="00D44DEC" w:rsidRPr="00100E9E" w:rsidRDefault="00D44DEC" w:rsidP="007F12E7">
      <w:pPr>
        <w:spacing w:after="120"/>
        <w:rPr>
          <w:rFonts w:cs="Times New Roman"/>
          <w:sz w:val="24"/>
          <w:szCs w:val="24"/>
          <w:u w:val="single"/>
        </w:rPr>
      </w:pPr>
      <w:r w:rsidRPr="00100E9E">
        <w:rPr>
          <w:rFonts w:cs="Times New Roman"/>
          <w:sz w:val="24"/>
          <w:szCs w:val="24"/>
          <w:u w:val="single"/>
        </w:rPr>
        <w:t>Method</w:t>
      </w:r>
      <w:r w:rsidR="00BB7EF7" w:rsidRPr="00100E9E">
        <w:rPr>
          <w:rFonts w:cs="Times New Roman"/>
          <w:sz w:val="24"/>
          <w:szCs w:val="24"/>
          <w:u w:val="single"/>
        </w:rPr>
        <w:t>s</w:t>
      </w:r>
    </w:p>
    <w:p w:rsidR="00673281" w:rsidRPr="00100E9E" w:rsidRDefault="00AE50F9" w:rsidP="007F12E7">
      <w:pPr>
        <w:spacing w:after="120"/>
        <w:rPr>
          <w:rFonts w:cs="Times New Roman"/>
          <w:sz w:val="24"/>
          <w:szCs w:val="24"/>
        </w:rPr>
      </w:pPr>
      <w:r w:rsidRPr="00100E9E">
        <w:rPr>
          <w:rFonts w:cs="Times New Roman"/>
          <w:sz w:val="24"/>
          <w:szCs w:val="24"/>
        </w:rPr>
        <w:t>Researchers recruited Centers for Independent L</w:t>
      </w:r>
      <w:r w:rsidR="00D44DEC" w:rsidRPr="00100E9E">
        <w:rPr>
          <w:rFonts w:cs="Times New Roman"/>
          <w:sz w:val="24"/>
          <w:szCs w:val="24"/>
        </w:rPr>
        <w:t xml:space="preserve">iving (CILs) </w:t>
      </w:r>
      <w:r w:rsidR="00BB7EF7" w:rsidRPr="00100E9E">
        <w:rPr>
          <w:rFonts w:cs="Times New Roman"/>
          <w:sz w:val="24"/>
          <w:szCs w:val="24"/>
        </w:rPr>
        <w:t xml:space="preserve">from central and southern </w:t>
      </w:r>
      <w:r w:rsidR="00E2040C">
        <w:rPr>
          <w:rFonts w:cs="Times New Roman"/>
          <w:sz w:val="24"/>
          <w:szCs w:val="24"/>
        </w:rPr>
        <w:t>M</w:t>
      </w:r>
      <w:r w:rsidR="00BB7EF7" w:rsidRPr="00100E9E">
        <w:rPr>
          <w:rFonts w:cs="Times New Roman"/>
          <w:sz w:val="24"/>
          <w:szCs w:val="24"/>
        </w:rPr>
        <w:t>idwest</w:t>
      </w:r>
      <w:r w:rsidR="00E2040C">
        <w:rPr>
          <w:rFonts w:cs="Times New Roman"/>
          <w:sz w:val="24"/>
          <w:szCs w:val="24"/>
        </w:rPr>
        <w:t>ern</w:t>
      </w:r>
      <w:r w:rsidR="00BB7EF7" w:rsidRPr="00100E9E">
        <w:rPr>
          <w:rFonts w:cs="Times New Roman"/>
          <w:sz w:val="24"/>
          <w:szCs w:val="24"/>
        </w:rPr>
        <w:t xml:space="preserve"> states across Region</w:t>
      </w:r>
      <w:r w:rsidR="00727EB7" w:rsidRPr="00100E9E">
        <w:rPr>
          <w:rFonts w:cs="Times New Roman"/>
          <w:sz w:val="24"/>
          <w:szCs w:val="24"/>
        </w:rPr>
        <w:t>s</w:t>
      </w:r>
      <w:r w:rsidR="00BB7EF7" w:rsidRPr="00100E9E">
        <w:rPr>
          <w:rFonts w:cs="Times New Roman"/>
          <w:sz w:val="24"/>
          <w:szCs w:val="24"/>
        </w:rPr>
        <w:t xml:space="preserve"> VI and VII</w:t>
      </w:r>
      <w:r w:rsidR="00D44DEC" w:rsidRPr="00100E9E">
        <w:rPr>
          <w:rFonts w:cs="Times New Roman"/>
          <w:sz w:val="24"/>
          <w:szCs w:val="24"/>
        </w:rPr>
        <w:t xml:space="preserve">.  An announcement </w:t>
      </w:r>
      <w:r w:rsidR="00E2040C">
        <w:rPr>
          <w:rFonts w:cs="Times New Roman"/>
          <w:sz w:val="24"/>
          <w:szCs w:val="24"/>
        </w:rPr>
        <w:t>was issued invit</w:t>
      </w:r>
      <w:r w:rsidR="00652BB5" w:rsidRPr="00100E9E">
        <w:rPr>
          <w:rFonts w:cs="Times New Roman"/>
          <w:sz w:val="24"/>
          <w:szCs w:val="24"/>
        </w:rPr>
        <w:t>ing</w:t>
      </w:r>
      <w:r w:rsidR="00D44DEC" w:rsidRPr="00100E9E">
        <w:rPr>
          <w:rFonts w:cs="Times New Roman"/>
          <w:sz w:val="24"/>
          <w:szCs w:val="24"/>
        </w:rPr>
        <w:t xml:space="preserve"> CIL</w:t>
      </w:r>
      <w:r w:rsidR="00E2040C">
        <w:rPr>
          <w:rFonts w:cs="Times New Roman"/>
          <w:sz w:val="24"/>
          <w:szCs w:val="24"/>
        </w:rPr>
        <w:t>s</w:t>
      </w:r>
      <w:r w:rsidR="00D44DEC" w:rsidRPr="00100E9E">
        <w:rPr>
          <w:rFonts w:cs="Times New Roman"/>
          <w:sz w:val="24"/>
          <w:szCs w:val="24"/>
        </w:rPr>
        <w:t xml:space="preserve"> to</w:t>
      </w:r>
      <w:r w:rsidR="00E2040C">
        <w:rPr>
          <w:rFonts w:cs="Times New Roman"/>
          <w:sz w:val="24"/>
          <w:szCs w:val="24"/>
        </w:rPr>
        <w:t xml:space="preserve"> apply to</w:t>
      </w:r>
      <w:r w:rsidR="00D44DEC" w:rsidRPr="00100E9E">
        <w:rPr>
          <w:rFonts w:cs="Times New Roman"/>
          <w:sz w:val="24"/>
          <w:szCs w:val="24"/>
        </w:rPr>
        <w:t xml:space="preserve"> participate in this </w:t>
      </w:r>
      <w:r w:rsidR="002116EE" w:rsidRPr="00100E9E">
        <w:rPr>
          <w:rFonts w:cs="Times New Roman"/>
          <w:sz w:val="24"/>
          <w:szCs w:val="24"/>
        </w:rPr>
        <w:t>project</w:t>
      </w:r>
      <w:r w:rsidR="00E2040C">
        <w:rPr>
          <w:rFonts w:cs="Times New Roman"/>
          <w:sz w:val="24"/>
          <w:szCs w:val="24"/>
        </w:rPr>
        <w:t>,</w:t>
      </w:r>
      <w:r w:rsidR="002116EE" w:rsidRPr="00100E9E">
        <w:rPr>
          <w:rFonts w:cs="Times New Roman"/>
          <w:sz w:val="24"/>
          <w:szCs w:val="24"/>
        </w:rPr>
        <w:t xml:space="preserve"> and 12 CILs were chosen to participate</w:t>
      </w:r>
      <w:r w:rsidR="00BB7EF7" w:rsidRPr="00100E9E">
        <w:rPr>
          <w:rFonts w:cs="Times New Roman"/>
          <w:sz w:val="24"/>
          <w:szCs w:val="24"/>
        </w:rPr>
        <w:t xml:space="preserve"> </w:t>
      </w:r>
      <w:r w:rsidR="0002401A" w:rsidRPr="00100E9E">
        <w:rPr>
          <w:rFonts w:cs="Times New Roman"/>
          <w:sz w:val="24"/>
          <w:szCs w:val="24"/>
        </w:rPr>
        <w:t>(</w:t>
      </w:r>
      <w:r w:rsidR="00727EB7" w:rsidRPr="00100E9E">
        <w:rPr>
          <w:rFonts w:cs="Times New Roman"/>
          <w:sz w:val="24"/>
          <w:szCs w:val="24"/>
        </w:rPr>
        <w:t xml:space="preserve">9 </w:t>
      </w:r>
      <w:r w:rsidR="0002401A" w:rsidRPr="00100E9E">
        <w:rPr>
          <w:rFonts w:cs="Times New Roman"/>
          <w:sz w:val="24"/>
          <w:szCs w:val="24"/>
        </w:rPr>
        <w:t>ultimately</w:t>
      </w:r>
      <w:r w:rsidR="00BB7EF7" w:rsidRPr="00100E9E">
        <w:rPr>
          <w:rFonts w:cs="Times New Roman"/>
          <w:sz w:val="24"/>
          <w:szCs w:val="24"/>
        </w:rPr>
        <w:t xml:space="preserve"> </w:t>
      </w:r>
      <w:r w:rsidR="002116EE" w:rsidRPr="00100E9E">
        <w:rPr>
          <w:rFonts w:cs="Times New Roman"/>
          <w:sz w:val="24"/>
          <w:szCs w:val="24"/>
        </w:rPr>
        <w:t>completed the project</w:t>
      </w:r>
      <w:r w:rsidR="0002401A" w:rsidRPr="00100E9E">
        <w:rPr>
          <w:rFonts w:cs="Times New Roman"/>
          <w:sz w:val="24"/>
          <w:szCs w:val="24"/>
        </w:rPr>
        <w:t>)</w:t>
      </w:r>
      <w:r w:rsidR="002116EE" w:rsidRPr="00100E9E">
        <w:rPr>
          <w:rFonts w:cs="Times New Roman"/>
          <w:sz w:val="24"/>
          <w:szCs w:val="24"/>
        </w:rPr>
        <w:t xml:space="preserve">. </w:t>
      </w:r>
      <w:r w:rsidR="00BC50D3" w:rsidRPr="00100E9E">
        <w:rPr>
          <w:rFonts w:cs="Times New Roman"/>
          <w:sz w:val="24"/>
          <w:szCs w:val="24"/>
        </w:rPr>
        <w:t>A multiple baseline staggered implementation was employed.</w:t>
      </w:r>
      <w:r w:rsidR="002116EE" w:rsidRPr="00100E9E">
        <w:rPr>
          <w:rFonts w:cs="Times New Roman"/>
          <w:sz w:val="24"/>
          <w:szCs w:val="24"/>
        </w:rPr>
        <w:t xml:space="preserve"> Each</w:t>
      </w:r>
      <w:r w:rsidR="00D44DEC" w:rsidRPr="00100E9E">
        <w:rPr>
          <w:rFonts w:cs="Times New Roman"/>
          <w:sz w:val="24"/>
          <w:szCs w:val="24"/>
        </w:rPr>
        <w:t xml:space="preserve"> </w:t>
      </w:r>
      <w:r w:rsidR="002116EE" w:rsidRPr="00100E9E">
        <w:rPr>
          <w:rFonts w:cs="Times New Roman"/>
          <w:sz w:val="24"/>
          <w:szCs w:val="24"/>
        </w:rPr>
        <w:t>CIL was</w:t>
      </w:r>
      <w:r w:rsidR="00D44DEC" w:rsidRPr="00100E9E">
        <w:rPr>
          <w:rFonts w:cs="Times New Roman"/>
          <w:sz w:val="24"/>
          <w:szCs w:val="24"/>
        </w:rPr>
        <w:t xml:space="preserve"> </w:t>
      </w:r>
      <w:r w:rsidR="00C94494" w:rsidRPr="00100E9E">
        <w:rPr>
          <w:rFonts w:cs="Times New Roman"/>
          <w:sz w:val="24"/>
          <w:szCs w:val="24"/>
        </w:rPr>
        <w:t xml:space="preserve">randomly </w:t>
      </w:r>
      <w:r w:rsidR="00D44DEC" w:rsidRPr="00100E9E">
        <w:rPr>
          <w:rFonts w:cs="Times New Roman"/>
          <w:sz w:val="24"/>
          <w:szCs w:val="24"/>
        </w:rPr>
        <w:t xml:space="preserve">assigned to </w:t>
      </w:r>
      <w:r w:rsidR="002116EE" w:rsidRPr="00100E9E">
        <w:rPr>
          <w:rFonts w:cs="Times New Roman"/>
          <w:sz w:val="24"/>
          <w:szCs w:val="24"/>
        </w:rPr>
        <w:t>one of three groups</w:t>
      </w:r>
      <w:r w:rsidR="00C94494" w:rsidRPr="00100E9E">
        <w:rPr>
          <w:rFonts w:cs="Times New Roman"/>
          <w:sz w:val="24"/>
          <w:szCs w:val="24"/>
        </w:rPr>
        <w:t>, and implementation</w:t>
      </w:r>
      <w:r w:rsidR="002116EE" w:rsidRPr="00100E9E">
        <w:rPr>
          <w:rFonts w:cs="Times New Roman"/>
          <w:sz w:val="24"/>
          <w:szCs w:val="24"/>
        </w:rPr>
        <w:t xml:space="preserve"> was staggered across </w:t>
      </w:r>
      <w:r w:rsidR="00BB7EF7" w:rsidRPr="00100E9E">
        <w:rPr>
          <w:rFonts w:cs="Times New Roman"/>
          <w:sz w:val="24"/>
          <w:szCs w:val="24"/>
        </w:rPr>
        <w:t xml:space="preserve">the three </w:t>
      </w:r>
      <w:r w:rsidR="002116EE" w:rsidRPr="00100E9E">
        <w:rPr>
          <w:rFonts w:cs="Times New Roman"/>
          <w:sz w:val="24"/>
          <w:szCs w:val="24"/>
        </w:rPr>
        <w:t xml:space="preserve">groups. </w:t>
      </w:r>
      <w:r w:rsidR="00C94494" w:rsidRPr="00100E9E">
        <w:rPr>
          <w:rFonts w:cs="Times New Roman"/>
          <w:sz w:val="24"/>
          <w:szCs w:val="24"/>
        </w:rPr>
        <w:t>All participating CILs began collecting baseline data three months prior to the training for the first cohort of CILs. The second cohort</w:t>
      </w:r>
      <w:r w:rsidR="00BB7EF7" w:rsidRPr="00100E9E">
        <w:rPr>
          <w:rFonts w:cs="Times New Roman"/>
          <w:sz w:val="24"/>
          <w:szCs w:val="24"/>
        </w:rPr>
        <w:t xml:space="preserve"> received training </w:t>
      </w:r>
      <w:r w:rsidR="002116EE" w:rsidRPr="00100E9E">
        <w:rPr>
          <w:rFonts w:cs="Times New Roman"/>
          <w:sz w:val="24"/>
          <w:szCs w:val="24"/>
        </w:rPr>
        <w:t xml:space="preserve">six months </w:t>
      </w:r>
      <w:r w:rsidR="00C94494" w:rsidRPr="00100E9E">
        <w:rPr>
          <w:rFonts w:cs="Times New Roman"/>
          <w:sz w:val="24"/>
          <w:szCs w:val="24"/>
        </w:rPr>
        <w:t>following cohort 1, and the third cohort received training 1</w:t>
      </w:r>
      <w:r w:rsidR="00BB7EF7" w:rsidRPr="00100E9E">
        <w:rPr>
          <w:rFonts w:cs="Times New Roman"/>
          <w:sz w:val="24"/>
          <w:szCs w:val="24"/>
        </w:rPr>
        <w:t xml:space="preserve">2 months </w:t>
      </w:r>
      <w:r w:rsidR="00C94494" w:rsidRPr="00100E9E">
        <w:rPr>
          <w:rFonts w:cs="Times New Roman"/>
          <w:sz w:val="24"/>
          <w:szCs w:val="24"/>
        </w:rPr>
        <w:t>following cohort 1</w:t>
      </w:r>
      <w:r w:rsidR="00D44DEC" w:rsidRPr="00100E9E">
        <w:rPr>
          <w:rFonts w:cs="Times New Roman"/>
          <w:sz w:val="24"/>
          <w:szCs w:val="24"/>
        </w:rPr>
        <w:t xml:space="preserve">. </w:t>
      </w:r>
    </w:p>
    <w:p w:rsidR="00EB38A2" w:rsidRPr="00100E9E" w:rsidRDefault="00BC50D3" w:rsidP="007F12E7">
      <w:pPr>
        <w:spacing w:after="120"/>
        <w:rPr>
          <w:rFonts w:cs="Times New Roman"/>
          <w:sz w:val="24"/>
          <w:szCs w:val="24"/>
        </w:rPr>
      </w:pPr>
      <w:r w:rsidRPr="00100E9E">
        <w:rPr>
          <w:rFonts w:cs="Times New Roman"/>
          <w:sz w:val="24"/>
          <w:szCs w:val="24"/>
        </w:rPr>
        <w:lastRenderedPageBreak/>
        <w:t>Implementation of the intervention consisted of in-person training followed by ongoing monthly technical assistance. Interactive training was provided to two staff members from each participating CIL during a three-day workshop</w:t>
      </w:r>
      <w:r w:rsidR="00E2040C">
        <w:rPr>
          <w:rFonts w:cs="Times New Roman"/>
          <w:sz w:val="24"/>
          <w:szCs w:val="24"/>
        </w:rPr>
        <w:t xml:space="preserve"> consisting of lectures, small group discussion, and real-life application with the goal of </w:t>
      </w:r>
      <w:r w:rsidRPr="00100E9E">
        <w:rPr>
          <w:rFonts w:cs="Times New Roman"/>
          <w:sz w:val="24"/>
          <w:szCs w:val="24"/>
        </w:rPr>
        <w:t>building capacity for collaborative action in communities. Training topics were selected based on input from attendees at the 2012 National Conference on Independent Living</w:t>
      </w:r>
      <w:r w:rsidR="00E2040C">
        <w:rPr>
          <w:rFonts w:cs="Times New Roman"/>
          <w:sz w:val="24"/>
          <w:szCs w:val="24"/>
        </w:rPr>
        <w:t>, and</w:t>
      </w:r>
      <w:r w:rsidRPr="00100E9E">
        <w:rPr>
          <w:rFonts w:cs="Times New Roman"/>
          <w:sz w:val="24"/>
          <w:szCs w:val="24"/>
        </w:rPr>
        <w:t xml:space="preserve"> included six of the sixteen core competencies in the Community Tool Box Curriculum </w:t>
      </w:r>
      <w:r w:rsidR="00E2040C">
        <w:rPr>
          <w:rFonts w:cs="Times New Roman"/>
          <w:sz w:val="24"/>
          <w:szCs w:val="24"/>
        </w:rPr>
        <w:t>(</w:t>
      </w:r>
      <w:hyperlink r:id="rId9" w:history="1">
        <w:r w:rsidRPr="00100E9E">
          <w:rPr>
            <w:rStyle w:val="Hyperlink"/>
            <w:rFonts w:cs="Times New Roman"/>
            <w:sz w:val="24"/>
            <w:szCs w:val="24"/>
          </w:rPr>
          <w:t>http://ctb.ku.edu/en/training-curriculum</w:t>
        </w:r>
      </w:hyperlink>
      <w:r w:rsidR="00E2040C">
        <w:rPr>
          <w:rFonts w:cs="Times New Roman"/>
          <w:sz w:val="24"/>
          <w:szCs w:val="24"/>
        </w:rPr>
        <w:t>),</w:t>
      </w:r>
      <w:r w:rsidRPr="00100E9E">
        <w:rPr>
          <w:rFonts w:cs="Times New Roman"/>
          <w:sz w:val="24"/>
          <w:szCs w:val="24"/>
        </w:rPr>
        <w:t xml:space="preserve"> adapted with examples for the independent living context. Training topics included:</w:t>
      </w:r>
    </w:p>
    <w:p w:rsidR="002116EE" w:rsidRPr="00100E9E" w:rsidRDefault="002116EE" w:rsidP="007F12E7">
      <w:pPr>
        <w:pStyle w:val="ListParagraph"/>
        <w:numPr>
          <w:ilvl w:val="0"/>
          <w:numId w:val="7"/>
        </w:numPr>
        <w:spacing w:after="120" w:line="240" w:lineRule="auto"/>
        <w:rPr>
          <w:rFonts w:cs="Times New Roman"/>
          <w:sz w:val="24"/>
          <w:szCs w:val="24"/>
        </w:rPr>
      </w:pPr>
      <w:r w:rsidRPr="00100E9E">
        <w:rPr>
          <w:rFonts w:cs="Times New Roman"/>
          <w:color w:val="000000"/>
          <w:sz w:val="24"/>
          <w:szCs w:val="24"/>
        </w:rPr>
        <w:t>Assessing Community Needs</w:t>
      </w:r>
      <w:r w:rsidR="00AB2E9E">
        <w:rPr>
          <w:rFonts w:cs="Times New Roman"/>
          <w:color w:val="000000"/>
          <w:sz w:val="24"/>
          <w:szCs w:val="24"/>
        </w:rPr>
        <w:t xml:space="preserve"> and Resources – Listening to community members and what matters to them; methods for gathering information about community needs and assets for improvement</w:t>
      </w:r>
    </w:p>
    <w:p w:rsidR="00AB2E9E" w:rsidRPr="00AB2E9E" w:rsidRDefault="002116EE" w:rsidP="007F12E7">
      <w:pPr>
        <w:pStyle w:val="ListParagraph"/>
        <w:numPr>
          <w:ilvl w:val="0"/>
          <w:numId w:val="7"/>
        </w:numPr>
        <w:spacing w:after="120" w:line="240" w:lineRule="auto"/>
        <w:rPr>
          <w:rFonts w:cs="Times New Roman"/>
          <w:sz w:val="24"/>
          <w:szCs w:val="24"/>
        </w:rPr>
      </w:pPr>
      <w:r w:rsidRPr="00100E9E">
        <w:rPr>
          <w:rFonts w:cs="Times New Roman"/>
          <w:sz w:val="24"/>
          <w:szCs w:val="24"/>
        </w:rPr>
        <w:t>Analyzing Problems and Goals</w:t>
      </w:r>
      <w:r w:rsidR="00AB2E9E">
        <w:rPr>
          <w:rFonts w:cs="Times New Roman"/>
          <w:sz w:val="24"/>
          <w:szCs w:val="24"/>
        </w:rPr>
        <w:t xml:space="preserve"> - C</w:t>
      </w:r>
      <w:r w:rsidR="00AB2E9E" w:rsidRPr="00AB2E9E">
        <w:rPr>
          <w:rFonts w:cs="Times New Roman"/>
          <w:sz w:val="24"/>
          <w:szCs w:val="24"/>
        </w:rPr>
        <w:t>onduct</w:t>
      </w:r>
      <w:r w:rsidR="00AB2E9E">
        <w:rPr>
          <w:rFonts w:cs="Times New Roman"/>
          <w:sz w:val="24"/>
          <w:szCs w:val="24"/>
        </w:rPr>
        <w:t>ing</w:t>
      </w:r>
      <w:r w:rsidR="00AB2E9E" w:rsidRPr="00AB2E9E">
        <w:rPr>
          <w:rFonts w:cs="Times New Roman"/>
          <w:sz w:val="24"/>
          <w:szCs w:val="24"/>
        </w:rPr>
        <w:t xml:space="preserve"> a thorough analysis of the community </w:t>
      </w:r>
      <w:r w:rsidR="00AB2E9E">
        <w:rPr>
          <w:rFonts w:cs="Times New Roman"/>
          <w:sz w:val="24"/>
          <w:szCs w:val="24"/>
        </w:rPr>
        <w:t>problem(s) and goal(s) that the</w:t>
      </w:r>
      <w:r w:rsidR="00AB2E9E" w:rsidRPr="00AB2E9E">
        <w:rPr>
          <w:rFonts w:cs="Times New Roman"/>
          <w:sz w:val="24"/>
          <w:szCs w:val="24"/>
        </w:rPr>
        <w:t xml:space="preserve"> effort will address, including analysis of key behaviors, personal and environmental factors, targets and agents of change, and potential solutions</w:t>
      </w:r>
    </w:p>
    <w:p w:rsidR="00AB2E9E" w:rsidRPr="00AB2E9E" w:rsidRDefault="002116EE" w:rsidP="007F12E7">
      <w:pPr>
        <w:pStyle w:val="ListParagraph"/>
        <w:numPr>
          <w:ilvl w:val="0"/>
          <w:numId w:val="7"/>
        </w:numPr>
        <w:spacing w:after="120" w:line="240" w:lineRule="auto"/>
        <w:rPr>
          <w:rFonts w:cs="Times New Roman"/>
          <w:sz w:val="24"/>
          <w:szCs w:val="24"/>
        </w:rPr>
      </w:pPr>
      <w:r w:rsidRPr="00100E9E">
        <w:rPr>
          <w:rFonts w:cs="Times New Roman"/>
          <w:sz w:val="24"/>
          <w:szCs w:val="24"/>
        </w:rPr>
        <w:t>Developing Action Plans</w:t>
      </w:r>
      <w:r w:rsidR="00AB2E9E" w:rsidRPr="00AB2E9E">
        <w:rPr>
          <w:rFonts w:cs="Times New Roman"/>
          <w:sz w:val="24"/>
          <w:szCs w:val="24"/>
        </w:rPr>
        <w:t xml:space="preserve"> - Importance of developing strategies and action plans and using them to guide the work; Skills required to develop a vision, mission, objectives, strategies and action plans</w:t>
      </w:r>
    </w:p>
    <w:p w:rsidR="00AB2E9E" w:rsidRPr="00AB2E9E" w:rsidRDefault="002116EE" w:rsidP="007F12E7">
      <w:pPr>
        <w:pStyle w:val="ListParagraph"/>
        <w:numPr>
          <w:ilvl w:val="0"/>
          <w:numId w:val="7"/>
        </w:numPr>
        <w:spacing w:after="120" w:line="240" w:lineRule="auto"/>
        <w:rPr>
          <w:rFonts w:cs="Times New Roman"/>
          <w:sz w:val="24"/>
          <w:szCs w:val="24"/>
        </w:rPr>
      </w:pPr>
      <w:r w:rsidRPr="00100E9E">
        <w:rPr>
          <w:rFonts w:cs="Times New Roman"/>
          <w:sz w:val="24"/>
          <w:szCs w:val="24"/>
        </w:rPr>
        <w:t>Developing an Intervention</w:t>
      </w:r>
      <w:r w:rsidR="00AB2E9E">
        <w:rPr>
          <w:rFonts w:cs="Times New Roman"/>
          <w:sz w:val="24"/>
          <w:szCs w:val="24"/>
        </w:rPr>
        <w:t xml:space="preserve"> - </w:t>
      </w:r>
      <w:r w:rsidR="00AB2E9E" w:rsidRPr="00AB2E9E">
        <w:rPr>
          <w:rFonts w:cs="Times New Roman"/>
          <w:sz w:val="24"/>
          <w:szCs w:val="24"/>
        </w:rPr>
        <w:t>Skills required to develop, select, adapt and implement interventions to fit the particular needs and cultural context of your community</w:t>
      </w:r>
    </w:p>
    <w:p w:rsidR="00AB2E9E" w:rsidRPr="00AB2E9E" w:rsidRDefault="002116EE" w:rsidP="007F12E7">
      <w:pPr>
        <w:pStyle w:val="ListParagraph"/>
        <w:numPr>
          <w:ilvl w:val="0"/>
          <w:numId w:val="7"/>
        </w:numPr>
        <w:spacing w:after="120" w:line="240" w:lineRule="auto"/>
        <w:rPr>
          <w:rFonts w:cs="Times New Roman"/>
          <w:sz w:val="24"/>
          <w:szCs w:val="24"/>
        </w:rPr>
      </w:pPr>
      <w:r w:rsidRPr="00100E9E">
        <w:rPr>
          <w:rFonts w:cs="Times New Roman"/>
          <w:sz w:val="24"/>
          <w:szCs w:val="24"/>
        </w:rPr>
        <w:t>Increasing Participation</w:t>
      </w:r>
      <w:r w:rsidR="00AB2E9E" w:rsidRPr="00AB2E9E">
        <w:rPr>
          <w:rFonts w:cs="Times New Roman"/>
          <w:sz w:val="24"/>
          <w:szCs w:val="24"/>
        </w:rPr>
        <w:t xml:space="preserve"> - Why it is crucial to intentionally involve others in the work, and engage them in ways that keep them involved over time; Key principles in outreach and recruitment</w:t>
      </w:r>
    </w:p>
    <w:p w:rsidR="00AB2E9E" w:rsidRPr="00AB2E9E" w:rsidRDefault="002116EE" w:rsidP="007F12E7">
      <w:pPr>
        <w:pStyle w:val="ListParagraph"/>
        <w:numPr>
          <w:ilvl w:val="0"/>
          <w:numId w:val="7"/>
        </w:numPr>
        <w:spacing w:after="120" w:line="240" w:lineRule="auto"/>
        <w:rPr>
          <w:rFonts w:cs="Times New Roman"/>
          <w:color w:val="000000"/>
          <w:sz w:val="24"/>
          <w:szCs w:val="24"/>
        </w:rPr>
      </w:pPr>
      <w:r w:rsidRPr="00100E9E">
        <w:rPr>
          <w:rFonts w:cs="Times New Roman"/>
          <w:color w:val="000000"/>
          <w:sz w:val="24"/>
          <w:szCs w:val="24"/>
        </w:rPr>
        <w:t>Advocating for Change</w:t>
      </w:r>
      <w:r w:rsidR="00AB2E9E" w:rsidRPr="00AB2E9E">
        <w:rPr>
          <w:rFonts w:cs="Times New Roman"/>
          <w:color w:val="000000"/>
          <w:sz w:val="24"/>
          <w:szCs w:val="24"/>
        </w:rPr>
        <w:t xml:space="preserve"> - Guidelines for effective advocacy; Advocacy techniques of varying intensity, and how potential adv</w:t>
      </w:r>
      <w:r w:rsidR="00AB2E9E">
        <w:rPr>
          <w:rFonts w:cs="Times New Roman"/>
          <w:color w:val="000000"/>
          <w:sz w:val="24"/>
          <w:szCs w:val="24"/>
        </w:rPr>
        <w:t xml:space="preserve">ocacy tactics can help achieve </w:t>
      </w:r>
      <w:r w:rsidR="00AB2E9E" w:rsidRPr="00AB2E9E">
        <w:rPr>
          <w:rFonts w:cs="Times New Roman"/>
          <w:color w:val="000000"/>
          <w:sz w:val="24"/>
          <w:szCs w:val="24"/>
        </w:rPr>
        <w:t>goals</w:t>
      </w:r>
    </w:p>
    <w:p w:rsidR="00673281" w:rsidRPr="00100E9E" w:rsidRDefault="00DA1A6E" w:rsidP="007F12E7">
      <w:pPr>
        <w:pStyle w:val="BasicParagraph"/>
        <w:spacing w:after="120" w:line="240" w:lineRule="auto"/>
        <w:rPr>
          <w:rFonts w:asciiTheme="minorHAnsi" w:hAnsiTheme="minorHAnsi" w:cs="Times New Roman"/>
        </w:rPr>
      </w:pPr>
      <w:r w:rsidRPr="00100E9E">
        <w:rPr>
          <w:rFonts w:asciiTheme="minorHAnsi" w:hAnsiTheme="minorHAnsi" w:cs="Times New Roman"/>
        </w:rPr>
        <w:t>T</w:t>
      </w:r>
      <w:r w:rsidR="00BD1817" w:rsidRPr="00100E9E">
        <w:rPr>
          <w:rFonts w:asciiTheme="minorHAnsi" w:hAnsiTheme="minorHAnsi" w:cs="Times New Roman"/>
        </w:rPr>
        <w:t xml:space="preserve">echnical assistance and peer mentoring were </w:t>
      </w:r>
      <w:r w:rsidR="00BC50D3" w:rsidRPr="00100E9E">
        <w:rPr>
          <w:rFonts w:asciiTheme="minorHAnsi" w:hAnsiTheme="minorHAnsi" w:cs="Times New Roman"/>
        </w:rPr>
        <w:t xml:space="preserve">provided </w:t>
      </w:r>
      <w:r w:rsidR="00E2040C">
        <w:rPr>
          <w:rFonts w:asciiTheme="minorHAnsi" w:hAnsiTheme="minorHAnsi" w:cs="Times New Roman"/>
        </w:rPr>
        <w:t>each month following training</w:t>
      </w:r>
      <w:r w:rsidR="00E2040C" w:rsidRPr="00100E9E">
        <w:rPr>
          <w:rFonts w:asciiTheme="minorHAnsi" w:hAnsiTheme="minorHAnsi" w:cs="Times New Roman"/>
        </w:rPr>
        <w:t xml:space="preserve"> </w:t>
      </w:r>
      <w:r w:rsidR="00BC50D3" w:rsidRPr="00100E9E">
        <w:rPr>
          <w:rFonts w:asciiTheme="minorHAnsi" w:hAnsiTheme="minorHAnsi" w:cs="Times New Roman"/>
        </w:rPr>
        <w:t>during</w:t>
      </w:r>
      <w:r w:rsidR="00AE50F9" w:rsidRPr="00100E9E">
        <w:rPr>
          <w:rFonts w:asciiTheme="minorHAnsi" w:hAnsiTheme="minorHAnsi" w:cs="Times New Roman"/>
        </w:rPr>
        <w:t xml:space="preserve"> conference calls</w:t>
      </w:r>
      <w:r w:rsidR="00BC50D3" w:rsidRPr="00100E9E">
        <w:rPr>
          <w:rFonts w:asciiTheme="minorHAnsi" w:hAnsiTheme="minorHAnsi" w:cs="Times New Roman"/>
        </w:rPr>
        <w:t xml:space="preserve"> for each cohort</w:t>
      </w:r>
      <w:r w:rsidR="00BD1817" w:rsidRPr="00100E9E">
        <w:rPr>
          <w:rFonts w:asciiTheme="minorHAnsi" w:hAnsiTheme="minorHAnsi" w:cs="Times New Roman"/>
        </w:rPr>
        <w:t xml:space="preserve">. </w:t>
      </w:r>
      <w:r w:rsidR="00E2040C">
        <w:rPr>
          <w:rFonts w:asciiTheme="minorHAnsi" w:hAnsiTheme="minorHAnsi" w:cs="Times New Roman"/>
        </w:rPr>
        <w:t xml:space="preserve">These calls occurred monthly for the duration of the project. </w:t>
      </w:r>
      <w:r w:rsidR="002116EE" w:rsidRPr="00100E9E">
        <w:rPr>
          <w:rFonts w:asciiTheme="minorHAnsi" w:hAnsiTheme="minorHAnsi" w:cs="Times New Roman"/>
        </w:rPr>
        <w:t>CIL</w:t>
      </w:r>
      <w:r w:rsidRPr="00100E9E">
        <w:rPr>
          <w:rFonts w:asciiTheme="minorHAnsi" w:hAnsiTheme="minorHAnsi" w:cs="Times New Roman"/>
        </w:rPr>
        <w:t>s</w:t>
      </w:r>
      <w:r w:rsidR="002116EE" w:rsidRPr="00100E9E">
        <w:rPr>
          <w:rFonts w:asciiTheme="minorHAnsi" w:hAnsiTheme="minorHAnsi" w:cs="Times New Roman"/>
        </w:rPr>
        <w:t xml:space="preserve"> discuss</w:t>
      </w:r>
      <w:r w:rsidRPr="00100E9E">
        <w:rPr>
          <w:rFonts w:asciiTheme="minorHAnsi" w:hAnsiTheme="minorHAnsi" w:cs="Times New Roman"/>
        </w:rPr>
        <w:t>ed</w:t>
      </w:r>
      <w:r w:rsidR="002116EE" w:rsidRPr="00100E9E">
        <w:rPr>
          <w:rFonts w:asciiTheme="minorHAnsi" w:hAnsiTheme="minorHAnsi" w:cs="Times New Roman"/>
        </w:rPr>
        <w:t xml:space="preserve"> progress</w:t>
      </w:r>
      <w:r w:rsidR="00AE50F9" w:rsidRPr="00100E9E">
        <w:rPr>
          <w:rFonts w:asciiTheme="minorHAnsi" w:hAnsiTheme="minorHAnsi" w:cs="Times New Roman"/>
        </w:rPr>
        <w:t xml:space="preserve"> taking </w:t>
      </w:r>
      <w:r w:rsidR="00017346" w:rsidRPr="00100E9E">
        <w:rPr>
          <w:rFonts w:asciiTheme="minorHAnsi" w:hAnsiTheme="minorHAnsi" w:cs="Times New Roman"/>
        </w:rPr>
        <w:t xml:space="preserve">action and </w:t>
      </w:r>
      <w:r w:rsidR="00AE50F9" w:rsidRPr="00100E9E">
        <w:rPr>
          <w:rFonts w:asciiTheme="minorHAnsi" w:hAnsiTheme="minorHAnsi" w:cs="Times New Roman"/>
        </w:rPr>
        <w:t xml:space="preserve">implementing </w:t>
      </w:r>
      <w:r w:rsidR="00017346" w:rsidRPr="00100E9E">
        <w:rPr>
          <w:rFonts w:asciiTheme="minorHAnsi" w:hAnsiTheme="minorHAnsi" w:cs="Times New Roman"/>
        </w:rPr>
        <w:t xml:space="preserve">community changes to create opportunities for consumer </w:t>
      </w:r>
      <w:r w:rsidRPr="00100E9E">
        <w:rPr>
          <w:rFonts w:asciiTheme="minorHAnsi" w:hAnsiTheme="minorHAnsi" w:cs="Times New Roman"/>
        </w:rPr>
        <w:t>community participation</w:t>
      </w:r>
      <w:r w:rsidR="00017346" w:rsidRPr="00100E9E">
        <w:rPr>
          <w:rFonts w:asciiTheme="minorHAnsi" w:hAnsiTheme="minorHAnsi" w:cs="Times New Roman"/>
        </w:rPr>
        <w:t xml:space="preserve">.  CIL staff members also </w:t>
      </w:r>
      <w:r w:rsidR="00861173" w:rsidRPr="00100E9E">
        <w:rPr>
          <w:rFonts w:asciiTheme="minorHAnsi" w:hAnsiTheme="minorHAnsi" w:cs="Times New Roman"/>
        </w:rPr>
        <w:t>discussed</w:t>
      </w:r>
      <w:r w:rsidR="002116EE" w:rsidRPr="00100E9E">
        <w:rPr>
          <w:rFonts w:asciiTheme="minorHAnsi" w:hAnsiTheme="minorHAnsi" w:cs="Times New Roman"/>
        </w:rPr>
        <w:t xml:space="preserve"> challenges</w:t>
      </w:r>
      <w:r w:rsidRPr="00100E9E">
        <w:rPr>
          <w:rFonts w:asciiTheme="minorHAnsi" w:hAnsiTheme="minorHAnsi" w:cs="Times New Roman"/>
        </w:rPr>
        <w:t xml:space="preserve"> encountered, promising practices that might be implemented, and participant</w:t>
      </w:r>
      <w:r w:rsidR="00017346" w:rsidRPr="00100E9E">
        <w:rPr>
          <w:rFonts w:asciiTheme="minorHAnsi" w:hAnsiTheme="minorHAnsi" w:cs="Times New Roman"/>
        </w:rPr>
        <w:t>-</w:t>
      </w:r>
      <w:r w:rsidRPr="00100E9E">
        <w:rPr>
          <w:rFonts w:asciiTheme="minorHAnsi" w:hAnsiTheme="minorHAnsi" w:cs="Times New Roman"/>
        </w:rPr>
        <w:t>generated solutions</w:t>
      </w:r>
      <w:r w:rsidR="00017346" w:rsidRPr="00100E9E">
        <w:rPr>
          <w:rFonts w:asciiTheme="minorHAnsi" w:hAnsiTheme="minorHAnsi" w:cs="Times New Roman"/>
        </w:rPr>
        <w:t xml:space="preserve"> to facilitate increased community participation</w:t>
      </w:r>
      <w:r w:rsidRPr="00100E9E">
        <w:rPr>
          <w:rFonts w:asciiTheme="minorHAnsi" w:hAnsiTheme="minorHAnsi" w:cs="Times New Roman"/>
        </w:rPr>
        <w:t xml:space="preserve">. </w:t>
      </w:r>
      <w:r w:rsidR="00017346" w:rsidRPr="00100E9E">
        <w:rPr>
          <w:rFonts w:asciiTheme="minorHAnsi" w:hAnsiTheme="minorHAnsi" w:cs="Times New Roman"/>
        </w:rPr>
        <w:t xml:space="preserve">Researchers initiated action planning </w:t>
      </w:r>
      <w:r w:rsidR="00861173" w:rsidRPr="00100E9E">
        <w:rPr>
          <w:rFonts w:asciiTheme="minorHAnsi" w:hAnsiTheme="minorHAnsi" w:cs="Times New Roman"/>
        </w:rPr>
        <w:t>meetings</w:t>
      </w:r>
      <w:r w:rsidR="00017346" w:rsidRPr="00100E9E">
        <w:rPr>
          <w:rFonts w:asciiTheme="minorHAnsi" w:hAnsiTheme="minorHAnsi" w:cs="Times New Roman"/>
        </w:rPr>
        <w:t xml:space="preserve"> </w:t>
      </w:r>
      <w:r w:rsidR="00BC50D3" w:rsidRPr="00100E9E">
        <w:rPr>
          <w:rFonts w:asciiTheme="minorHAnsi" w:hAnsiTheme="minorHAnsi" w:cs="Times New Roman"/>
        </w:rPr>
        <w:t xml:space="preserve">with participating CIL staff </w:t>
      </w:r>
      <w:r w:rsidR="00BD1817" w:rsidRPr="00100E9E">
        <w:rPr>
          <w:rFonts w:asciiTheme="minorHAnsi" w:hAnsiTheme="minorHAnsi" w:cs="Times New Roman"/>
        </w:rPr>
        <w:t xml:space="preserve">at the mid-point of the project to </w:t>
      </w:r>
      <w:r w:rsidR="00017346" w:rsidRPr="00100E9E">
        <w:rPr>
          <w:rFonts w:asciiTheme="minorHAnsi" w:hAnsiTheme="minorHAnsi" w:cs="Times New Roman"/>
        </w:rPr>
        <w:t xml:space="preserve">review and update targeted community actions and </w:t>
      </w:r>
      <w:r w:rsidR="00861173" w:rsidRPr="00100E9E">
        <w:rPr>
          <w:rFonts w:asciiTheme="minorHAnsi" w:hAnsiTheme="minorHAnsi" w:cs="Times New Roman"/>
        </w:rPr>
        <w:t>community</w:t>
      </w:r>
      <w:r w:rsidR="00017346" w:rsidRPr="00100E9E">
        <w:rPr>
          <w:rFonts w:asciiTheme="minorHAnsi" w:hAnsiTheme="minorHAnsi" w:cs="Times New Roman"/>
        </w:rPr>
        <w:t xml:space="preserve"> changes</w:t>
      </w:r>
      <w:r w:rsidR="00DC4582" w:rsidRPr="00100E9E">
        <w:rPr>
          <w:rFonts w:asciiTheme="minorHAnsi" w:hAnsiTheme="minorHAnsi" w:cs="Times New Roman"/>
        </w:rPr>
        <w:t xml:space="preserve"> to be sought</w:t>
      </w:r>
      <w:r w:rsidR="00017346" w:rsidRPr="00100E9E">
        <w:rPr>
          <w:rFonts w:asciiTheme="minorHAnsi" w:hAnsiTheme="minorHAnsi" w:cs="Times New Roman"/>
        </w:rPr>
        <w:t xml:space="preserve">. The </w:t>
      </w:r>
      <w:r w:rsidR="00DC4582" w:rsidRPr="00100E9E">
        <w:rPr>
          <w:rFonts w:asciiTheme="minorHAnsi" w:hAnsiTheme="minorHAnsi" w:cs="Times New Roman"/>
        </w:rPr>
        <w:t>technical assistance calls</w:t>
      </w:r>
      <w:r w:rsidR="00017346" w:rsidRPr="00100E9E">
        <w:rPr>
          <w:rFonts w:asciiTheme="minorHAnsi" w:hAnsiTheme="minorHAnsi" w:cs="Times New Roman"/>
        </w:rPr>
        <w:t xml:space="preserve"> p</w:t>
      </w:r>
      <w:r w:rsidR="00BD1817" w:rsidRPr="00100E9E">
        <w:rPr>
          <w:rFonts w:asciiTheme="minorHAnsi" w:hAnsiTheme="minorHAnsi" w:cs="Times New Roman"/>
        </w:rPr>
        <w:t>eriodically</w:t>
      </w:r>
      <w:r w:rsidR="00017346" w:rsidRPr="00100E9E">
        <w:rPr>
          <w:rFonts w:asciiTheme="minorHAnsi" w:hAnsiTheme="minorHAnsi" w:cs="Times New Roman"/>
        </w:rPr>
        <w:t xml:space="preserve"> incorporate</w:t>
      </w:r>
      <w:r w:rsidR="00DC4582" w:rsidRPr="00100E9E">
        <w:rPr>
          <w:rFonts w:asciiTheme="minorHAnsi" w:hAnsiTheme="minorHAnsi" w:cs="Times New Roman"/>
        </w:rPr>
        <w:t>d</w:t>
      </w:r>
      <w:r w:rsidR="00017346" w:rsidRPr="00100E9E">
        <w:rPr>
          <w:rFonts w:asciiTheme="minorHAnsi" w:hAnsiTheme="minorHAnsi" w:cs="Times New Roman"/>
        </w:rPr>
        <w:t xml:space="preserve"> subject matter experts </w:t>
      </w:r>
      <w:r w:rsidR="00DC4582" w:rsidRPr="00100E9E">
        <w:rPr>
          <w:rFonts w:asciiTheme="minorHAnsi" w:hAnsiTheme="minorHAnsi" w:cs="Times New Roman"/>
        </w:rPr>
        <w:t>who</w:t>
      </w:r>
      <w:r w:rsidR="00534D2E" w:rsidRPr="00100E9E">
        <w:rPr>
          <w:rFonts w:asciiTheme="minorHAnsi" w:hAnsiTheme="minorHAnsi" w:cs="Times New Roman"/>
        </w:rPr>
        <w:t xml:space="preserve"> </w:t>
      </w:r>
      <w:r w:rsidR="00017346" w:rsidRPr="00100E9E">
        <w:rPr>
          <w:rFonts w:asciiTheme="minorHAnsi" w:hAnsiTheme="minorHAnsi" w:cs="Times New Roman"/>
        </w:rPr>
        <w:t>addre</w:t>
      </w:r>
      <w:r w:rsidR="00DC4582" w:rsidRPr="00100E9E">
        <w:rPr>
          <w:rFonts w:asciiTheme="minorHAnsi" w:hAnsiTheme="minorHAnsi" w:cs="Times New Roman"/>
        </w:rPr>
        <w:t>s</w:t>
      </w:r>
      <w:r w:rsidR="00017346" w:rsidRPr="00100E9E">
        <w:rPr>
          <w:rFonts w:asciiTheme="minorHAnsi" w:hAnsiTheme="minorHAnsi" w:cs="Times New Roman"/>
        </w:rPr>
        <w:t>s</w:t>
      </w:r>
      <w:r w:rsidR="00DC4582" w:rsidRPr="00100E9E">
        <w:rPr>
          <w:rFonts w:asciiTheme="minorHAnsi" w:hAnsiTheme="minorHAnsi" w:cs="Times New Roman"/>
        </w:rPr>
        <w:t>ed</w:t>
      </w:r>
      <w:r w:rsidR="00017346" w:rsidRPr="00100E9E">
        <w:rPr>
          <w:rFonts w:asciiTheme="minorHAnsi" w:hAnsiTheme="minorHAnsi" w:cs="Times New Roman"/>
        </w:rPr>
        <w:t xml:space="preserve"> topics </w:t>
      </w:r>
      <w:r w:rsidR="00534D2E" w:rsidRPr="00100E9E">
        <w:rPr>
          <w:rFonts w:asciiTheme="minorHAnsi" w:hAnsiTheme="minorHAnsi" w:cs="Times New Roman"/>
        </w:rPr>
        <w:t>of interest</w:t>
      </w:r>
      <w:r w:rsidR="00DC4582" w:rsidRPr="00100E9E">
        <w:rPr>
          <w:rFonts w:asciiTheme="minorHAnsi" w:hAnsiTheme="minorHAnsi" w:cs="Times New Roman"/>
        </w:rPr>
        <w:t>,</w:t>
      </w:r>
      <w:r w:rsidR="00534D2E" w:rsidRPr="00100E9E">
        <w:rPr>
          <w:rFonts w:asciiTheme="minorHAnsi" w:hAnsiTheme="minorHAnsi" w:cs="Times New Roman"/>
        </w:rPr>
        <w:t xml:space="preserve"> </w:t>
      </w:r>
      <w:r w:rsidR="00017346" w:rsidRPr="00100E9E">
        <w:rPr>
          <w:rFonts w:asciiTheme="minorHAnsi" w:hAnsiTheme="minorHAnsi" w:cs="Times New Roman"/>
        </w:rPr>
        <w:t>such as measuring community usability and</w:t>
      </w:r>
      <w:r w:rsidR="00855DC6" w:rsidRPr="00100E9E">
        <w:rPr>
          <w:rFonts w:asciiTheme="minorHAnsi" w:hAnsiTheme="minorHAnsi" w:cs="Times New Roman"/>
        </w:rPr>
        <w:t xml:space="preserve"> </w:t>
      </w:r>
      <w:r w:rsidR="00017346" w:rsidRPr="00100E9E">
        <w:rPr>
          <w:rFonts w:asciiTheme="minorHAnsi" w:hAnsiTheme="minorHAnsi" w:cs="Times New Roman"/>
        </w:rPr>
        <w:t xml:space="preserve">housing accessibility. </w:t>
      </w:r>
    </w:p>
    <w:p w:rsidR="002116EE" w:rsidRPr="00100E9E" w:rsidRDefault="006F4ED1" w:rsidP="007F12E7">
      <w:pPr>
        <w:pStyle w:val="BasicParagraph"/>
        <w:spacing w:after="120" w:line="240" w:lineRule="auto"/>
        <w:rPr>
          <w:rFonts w:asciiTheme="minorHAnsi" w:hAnsiTheme="minorHAnsi" w:cs="Times New Roman"/>
        </w:rPr>
      </w:pPr>
      <w:r w:rsidRPr="00100E9E">
        <w:rPr>
          <w:rFonts w:asciiTheme="minorHAnsi" w:hAnsiTheme="minorHAnsi" w:cs="Times New Roman"/>
        </w:rPr>
        <w:t>Documentation o</w:t>
      </w:r>
      <w:r w:rsidR="002204EA" w:rsidRPr="00100E9E">
        <w:rPr>
          <w:rFonts w:asciiTheme="minorHAnsi" w:hAnsiTheme="minorHAnsi" w:cs="Times New Roman"/>
        </w:rPr>
        <w:t>f</w:t>
      </w:r>
      <w:r w:rsidRPr="00100E9E">
        <w:rPr>
          <w:rFonts w:asciiTheme="minorHAnsi" w:hAnsiTheme="minorHAnsi" w:cs="Times New Roman"/>
        </w:rPr>
        <w:t xml:space="preserve"> CIL</w:t>
      </w:r>
      <w:r w:rsidR="00534D2E" w:rsidRPr="00100E9E">
        <w:rPr>
          <w:rFonts w:asciiTheme="minorHAnsi" w:hAnsiTheme="minorHAnsi" w:cs="Times New Roman"/>
        </w:rPr>
        <w:t>s</w:t>
      </w:r>
      <w:r w:rsidR="002204EA" w:rsidRPr="00100E9E">
        <w:rPr>
          <w:rFonts w:asciiTheme="minorHAnsi" w:hAnsiTheme="minorHAnsi" w:cs="Times New Roman"/>
        </w:rPr>
        <w:t>’</w:t>
      </w:r>
      <w:r w:rsidRPr="00100E9E">
        <w:rPr>
          <w:rFonts w:asciiTheme="minorHAnsi" w:hAnsiTheme="minorHAnsi" w:cs="Times New Roman"/>
        </w:rPr>
        <w:t xml:space="preserve"> effort</w:t>
      </w:r>
      <w:r w:rsidR="00534D2E" w:rsidRPr="00100E9E">
        <w:rPr>
          <w:rFonts w:asciiTheme="minorHAnsi" w:hAnsiTheme="minorHAnsi" w:cs="Times New Roman"/>
        </w:rPr>
        <w:t>s</w:t>
      </w:r>
      <w:r w:rsidRPr="00100E9E">
        <w:rPr>
          <w:rFonts w:asciiTheme="minorHAnsi" w:hAnsiTheme="minorHAnsi" w:cs="Times New Roman"/>
        </w:rPr>
        <w:t xml:space="preserve"> was conducted </w:t>
      </w:r>
      <w:r w:rsidR="004516F9" w:rsidRPr="00100E9E">
        <w:rPr>
          <w:rFonts w:asciiTheme="minorHAnsi" w:hAnsiTheme="minorHAnsi" w:cs="Times New Roman"/>
        </w:rPr>
        <w:t xml:space="preserve">using the online </w:t>
      </w:r>
      <w:r w:rsidR="00B276BF" w:rsidRPr="00100E9E">
        <w:rPr>
          <w:rFonts w:asciiTheme="minorHAnsi" w:hAnsiTheme="minorHAnsi" w:cs="Times New Roman"/>
        </w:rPr>
        <w:t>C</w:t>
      </w:r>
      <w:r w:rsidR="002204EA" w:rsidRPr="00100E9E">
        <w:rPr>
          <w:rFonts w:asciiTheme="minorHAnsi" w:hAnsiTheme="minorHAnsi" w:cs="Times New Roman"/>
        </w:rPr>
        <w:t>ommunity Check Box (CCB)</w:t>
      </w:r>
      <w:r w:rsidR="00534D2E" w:rsidRPr="00100E9E">
        <w:rPr>
          <w:rFonts w:asciiTheme="minorHAnsi" w:hAnsiTheme="minorHAnsi" w:cs="Times New Roman"/>
        </w:rPr>
        <w:t xml:space="preserve"> </w:t>
      </w:r>
      <w:r w:rsidR="002204EA" w:rsidRPr="00100E9E">
        <w:rPr>
          <w:rFonts w:asciiTheme="minorHAnsi" w:hAnsiTheme="minorHAnsi" w:cs="Times New Roman"/>
        </w:rPr>
        <w:t>E</w:t>
      </w:r>
      <w:r w:rsidR="004516F9" w:rsidRPr="00100E9E">
        <w:rPr>
          <w:rFonts w:asciiTheme="minorHAnsi" w:hAnsiTheme="minorHAnsi" w:cs="Times New Roman"/>
        </w:rPr>
        <w:t xml:space="preserve">valuation </w:t>
      </w:r>
      <w:r w:rsidR="002204EA" w:rsidRPr="00100E9E">
        <w:rPr>
          <w:rFonts w:asciiTheme="minorHAnsi" w:hAnsiTheme="minorHAnsi" w:cs="Times New Roman"/>
        </w:rPr>
        <w:t>S</w:t>
      </w:r>
      <w:r w:rsidR="004516F9" w:rsidRPr="00100E9E">
        <w:rPr>
          <w:rFonts w:asciiTheme="minorHAnsi" w:hAnsiTheme="minorHAnsi" w:cs="Times New Roman"/>
        </w:rPr>
        <w:t>ystem</w:t>
      </w:r>
      <w:r w:rsidR="002204EA" w:rsidRPr="00100E9E">
        <w:rPr>
          <w:rFonts w:asciiTheme="minorHAnsi" w:hAnsiTheme="minorHAnsi" w:cs="Times New Roman"/>
        </w:rPr>
        <w:t xml:space="preserve">. </w:t>
      </w:r>
      <w:r w:rsidR="004516F9" w:rsidRPr="00100E9E">
        <w:rPr>
          <w:rFonts w:asciiTheme="minorHAnsi" w:hAnsiTheme="minorHAnsi" w:cs="Times New Roman"/>
        </w:rPr>
        <w:t xml:space="preserve"> </w:t>
      </w:r>
      <w:r w:rsidR="00E2040C">
        <w:rPr>
          <w:rFonts w:asciiTheme="minorHAnsi" w:hAnsiTheme="minorHAnsi" w:cs="Times New Roman"/>
        </w:rPr>
        <w:t xml:space="preserve">Designated </w:t>
      </w:r>
      <w:r w:rsidR="00D75187" w:rsidRPr="00100E9E">
        <w:rPr>
          <w:rFonts w:asciiTheme="minorHAnsi" w:hAnsiTheme="minorHAnsi" w:cs="Times New Roman"/>
        </w:rPr>
        <w:t>CIL staff members</w:t>
      </w:r>
      <w:r w:rsidR="00E2040C">
        <w:rPr>
          <w:rFonts w:asciiTheme="minorHAnsi" w:hAnsiTheme="minorHAnsi" w:cs="Times New Roman"/>
        </w:rPr>
        <w:t xml:space="preserve"> logged their CIL’s</w:t>
      </w:r>
      <w:r w:rsidR="00D75187" w:rsidRPr="00100E9E">
        <w:rPr>
          <w:rFonts w:asciiTheme="minorHAnsi" w:hAnsiTheme="minorHAnsi" w:cs="Times New Roman"/>
        </w:rPr>
        <w:t xml:space="preserve"> </w:t>
      </w:r>
      <w:r w:rsidR="00534D2E" w:rsidRPr="00100E9E">
        <w:rPr>
          <w:rFonts w:asciiTheme="minorHAnsi" w:hAnsiTheme="minorHAnsi" w:cs="Times New Roman"/>
        </w:rPr>
        <w:t xml:space="preserve">efforts to </w:t>
      </w:r>
      <w:r w:rsidR="00B276BF" w:rsidRPr="00100E9E">
        <w:rPr>
          <w:rFonts w:asciiTheme="minorHAnsi" w:hAnsiTheme="minorHAnsi" w:cs="Times New Roman"/>
        </w:rPr>
        <w:t>chang</w:t>
      </w:r>
      <w:r w:rsidR="00534D2E" w:rsidRPr="00100E9E">
        <w:rPr>
          <w:rFonts w:asciiTheme="minorHAnsi" w:hAnsiTheme="minorHAnsi" w:cs="Times New Roman"/>
        </w:rPr>
        <w:t>e</w:t>
      </w:r>
      <w:r w:rsidR="00B276BF" w:rsidRPr="00100E9E">
        <w:rPr>
          <w:rFonts w:asciiTheme="minorHAnsi" w:hAnsiTheme="minorHAnsi" w:cs="Times New Roman"/>
        </w:rPr>
        <w:t xml:space="preserve"> their communities </w:t>
      </w:r>
      <w:r w:rsidR="00534D2E" w:rsidRPr="00100E9E">
        <w:rPr>
          <w:rFonts w:asciiTheme="minorHAnsi" w:hAnsiTheme="minorHAnsi" w:cs="Times New Roman"/>
        </w:rPr>
        <w:t>in ways that p</w:t>
      </w:r>
      <w:r w:rsidR="00B276BF" w:rsidRPr="00100E9E">
        <w:rPr>
          <w:rFonts w:asciiTheme="minorHAnsi" w:hAnsiTheme="minorHAnsi" w:cs="Times New Roman"/>
        </w:rPr>
        <w:t>romote</w:t>
      </w:r>
      <w:r w:rsidR="0065453A">
        <w:rPr>
          <w:rFonts w:asciiTheme="minorHAnsi" w:hAnsiTheme="minorHAnsi" w:cs="Times New Roman"/>
        </w:rPr>
        <w:t>d</w:t>
      </w:r>
      <w:r w:rsidR="00B276BF" w:rsidRPr="00100E9E">
        <w:rPr>
          <w:rFonts w:asciiTheme="minorHAnsi" w:hAnsiTheme="minorHAnsi" w:cs="Times New Roman"/>
        </w:rPr>
        <w:t xml:space="preserve"> full participation for people with disabilities. Using graphs and lists of accomplishments generated by </w:t>
      </w:r>
      <w:r w:rsidR="0065453A">
        <w:rPr>
          <w:rFonts w:asciiTheme="minorHAnsi" w:hAnsiTheme="minorHAnsi" w:cs="Times New Roman"/>
        </w:rPr>
        <w:t xml:space="preserve">support staff using </w:t>
      </w:r>
      <w:r w:rsidR="00B276BF" w:rsidRPr="00100E9E">
        <w:rPr>
          <w:rFonts w:asciiTheme="minorHAnsi" w:hAnsiTheme="minorHAnsi" w:cs="Times New Roman"/>
        </w:rPr>
        <w:t>the CCB, t</w:t>
      </w:r>
      <w:r w:rsidR="00802D3C" w:rsidRPr="00100E9E">
        <w:rPr>
          <w:rFonts w:asciiTheme="minorHAnsi" w:hAnsiTheme="minorHAnsi" w:cs="Times New Roman"/>
        </w:rPr>
        <w:t xml:space="preserve">he </w:t>
      </w:r>
      <w:r w:rsidR="00B276BF" w:rsidRPr="00100E9E">
        <w:rPr>
          <w:rFonts w:asciiTheme="minorHAnsi" w:hAnsiTheme="minorHAnsi" w:cs="Times New Roman"/>
        </w:rPr>
        <w:t>CILs</w:t>
      </w:r>
      <w:r w:rsidR="0065453A">
        <w:rPr>
          <w:rFonts w:asciiTheme="minorHAnsi" w:hAnsiTheme="minorHAnsi" w:cs="Times New Roman"/>
        </w:rPr>
        <w:t>’</w:t>
      </w:r>
      <w:r w:rsidR="00B276BF" w:rsidRPr="00100E9E">
        <w:rPr>
          <w:rFonts w:asciiTheme="minorHAnsi" w:hAnsiTheme="minorHAnsi" w:cs="Times New Roman"/>
        </w:rPr>
        <w:t xml:space="preserve"> </w:t>
      </w:r>
      <w:r w:rsidR="00802D3C" w:rsidRPr="00100E9E">
        <w:rPr>
          <w:rFonts w:asciiTheme="minorHAnsi" w:hAnsiTheme="minorHAnsi" w:cs="Times New Roman"/>
        </w:rPr>
        <w:t>effort</w:t>
      </w:r>
      <w:r w:rsidR="00B276BF" w:rsidRPr="00100E9E">
        <w:rPr>
          <w:rFonts w:asciiTheme="minorHAnsi" w:hAnsiTheme="minorHAnsi" w:cs="Times New Roman"/>
        </w:rPr>
        <w:t>s were</w:t>
      </w:r>
      <w:r w:rsidR="00802D3C" w:rsidRPr="00100E9E">
        <w:rPr>
          <w:rFonts w:asciiTheme="minorHAnsi" w:hAnsiTheme="minorHAnsi" w:cs="Times New Roman"/>
        </w:rPr>
        <w:t xml:space="preserve"> periodically reviewed</w:t>
      </w:r>
      <w:r w:rsidR="004516F9" w:rsidRPr="00100E9E">
        <w:rPr>
          <w:rFonts w:asciiTheme="minorHAnsi" w:hAnsiTheme="minorHAnsi" w:cs="Times New Roman"/>
        </w:rPr>
        <w:t xml:space="preserve"> </w:t>
      </w:r>
      <w:r w:rsidR="00534D2E" w:rsidRPr="00100E9E">
        <w:rPr>
          <w:rFonts w:asciiTheme="minorHAnsi" w:hAnsiTheme="minorHAnsi" w:cs="Times New Roman"/>
        </w:rPr>
        <w:t>individually with participants a</w:t>
      </w:r>
      <w:r w:rsidR="0065453A">
        <w:rPr>
          <w:rFonts w:asciiTheme="minorHAnsi" w:hAnsiTheme="minorHAnsi" w:cs="Times New Roman"/>
        </w:rPr>
        <w:t>s well as</w:t>
      </w:r>
      <w:r w:rsidR="00534D2E" w:rsidRPr="00100E9E">
        <w:rPr>
          <w:rFonts w:asciiTheme="minorHAnsi" w:hAnsiTheme="minorHAnsi" w:cs="Times New Roman"/>
        </w:rPr>
        <w:t xml:space="preserve"> during TA teleconferences </w:t>
      </w:r>
      <w:r w:rsidR="004516F9" w:rsidRPr="00100E9E">
        <w:rPr>
          <w:rFonts w:asciiTheme="minorHAnsi" w:hAnsiTheme="minorHAnsi" w:cs="Times New Roman"/>
        </w:rPr>
        <w:t xml:space="preserve">to develop an understanding of the </w:t>
      </w:r>
      <w:r w:rsidR="00A11B23">
        <w:rPr>
          <w:rFonts w:asciiTheme="minorHAnsi" w:hAnsiTheme="minorHAnsi" w:cs="Times New Roman"/>
        </w:rPr>
        <w:t xml:space="preserve">activities contributing to these </w:t>
      </w:r>
      <w:r w:rsidR="00B276BF" w:rsidRPr="00100E9E">
        <w:rPr>
          <w:rFonts w:asciiTheme="minorHAnsi" w:hAnsiTheme="minorHAnsi" w:cs="Times New Roman"/>
        </w:rPr>
        <w:t>effort</w:t>
      </w:r>
      <w:r w:rsidR="00A11B23">
        <w:rPr>
          <w:rFonts w:asciiTheme="minorHAnsi" w:hAnsiTheme="minorHAnsi" w:cs="Times New Roman"/>
        </w:rPr>
        <w:t>s</w:t>
      </w:r>
      <w:r w:rsidR="00B276BF" w:rsidRPr="00100E9E">
        <w:rPr>
          <w:rFonts w:asciiTheme="minorHAnsi" w:hAnsiTheme="minorHAnsi" w:cs="Times New Roman"/>
        </w:rPr>
        <w:t>,</w:t>
      </w:r>
      <w:r w:rsidR="00A11B23">
        <w:rPr>
          <w:rFonts w:asciiTheme="minorHAnsi" w:hAnsiTheme="minorHAnsi" w:cs="Times New Roman"/>
        </w:rPr>
        <w:t xml:space="preserve"> the context for the work, </w:t>
      </w:r>
      <w:r w:rsidR="00B276BF" w:rsidRPr="00100E9E">
        <w:rPr>
          <w:rFonts w:asciiTheme="minorHAnsi" w:hAnsiTheme="minorHAnsi" w:cs="Times New Roman"/>
        </w:rPr>
        <w:t xml:space="preserve">and </w:t>
      </w:r>
      <w:r w:rsidR="00A11B23">
        <w:rPr>
          <w:rFonts w:asciiTheme="minorHAnsi" w:hAnsiTheme="minorHAnsi" w:cs="Times New Roman"/>
        </w:rPr>
        <w:t>possible adjustments to</w:t>
      </w:r>
      <w:r w:rsidR="00B276BF" w:rsidRPr="00100E9E">
        <w:rPr>
          <w:rFonts w:asciiTheme="minorHAnsi" w:hAnsiTheme="minorHAnsi" w:cs="Times New Roman"/>
        </w:rPr>
        <w:t xml:space="preserve"> the work</w:t>
      </w:r>
      <w:r w:rsidR="00A11B23">
        <w:rPr>
          <w:rFonts w:asciiTheme="minorHAnsi" w:hAnsiTheme="minorHAnsi" w:cs="Times New Roman"/>
        </w:rPr>
        <w:t xml:space="preserve"> to increase success</w:t>
      </w:r>
      <w:r w:rsidR="0065453A">
        <w:rPr>
          <w:rFonts w:asciiTheme="minorHAnsi" w:hAnsiTheme="minorHAnsi" w:cs="Times New Roman"/>
        </w:rPr>
        <w:t>.</w:t>
      </w:r>
    </w:p>
    <w:p w:rsidR="0066231C" w:rsidRPr="00100E9E" w:rsidRDefault="00300E45" w:rsidP="007F12E7">
      <w:pPr>
        <w:spacing w:after="120"/>
        <w:rPr>
          <w:rFonts w:cs="Times New Roman"/>
          <w:sz w:val="24"/>
          <w:szCs w:val="24"/>
        </w:rPr>
      </w:pPr>
      <w:r w:rsidRPr="00100E9E">
        <w:rPr>
          <w:rFonts w:cs="Times New Roman"/>
          <w:sz w:val="24"/>
          <w:szCs w:val="24"/>
        </w:rPr>
        <w:lastRenderedPageBreak/>
        <w:t>Training on documenting activities using the CCB was provide</w:t>
      </w:r>
      <w:r w:rsidR="00FE3693" w:rsidRPr="00100E9E">
        <w:rPr>
          <w:rFonts w:cs="Times New Roman"/>
          <w:sz w:val="24"/>
          <w:szCs w:val="24"/>
        </w:rPr>
        <w:t>d</w:t>
      </w:r>
      <w:r w:rsidRPr="00100E9E">
        <w:rPr>
          <w:rFonts w:cs="Times New Roman"/>
          <w:sz w:val="24"/>
          <w:szCs w:val="24"/>
        </w:rPr>
        <w:t xml:space="preserve"> to the CILs by the KU </w:t>
      </w:r>
      <w:r w:rsidR="001039AB" w:rsidRPr="00100E9E">
        <w:rPr>
          <w:rFonts w:cs="Times New Roman"/>
          <w:sz w:val="24"/>
          <w:szCs w:val="24"/>
        </w:rPr>
        <w:t xml:space="preserve">research </w:t>
      </w:r>
      <w:r w:rsidRPr="00100E9E">
        <w:rPr>
          <w:rFonts w:cs="Times New Roman"/>
          <w:sz w:val="24"/>
          <w:szCs w:val="24"/>
        </w:rPr>
        <w:t xml:space="preserve">team.  </w:t>
      </w:r>
      <w:r w:rsidR="00E87AE8" w:rsidRPr="00100E9E">
        <w:rPr>
          <w:rFonts w:cs="Times New Roman"/>
          <w:sz w:val="24"/>
          <w:szCs w:val="24"/>
        </w:rPr>
        <w:t>U</w:t>
      </w:r>
      <w:r w:rsidR="008E28FC" w:rsidRPr="00100E9E">
        <w:rPr>
          <w:rFonts w:cs="Times New Roman"/>
          <w:sz w:val="24"/>
          <w:szCs w:val="24"/>
        </w:rPr>
        <w:t>sing the CCB</w:t>
      </w:r>
      <w:r w:rsidR="0065453A">
        <w:rPr>
          <w:rFonts w:cs="Times New Roman"/>
          <w:sz w:val="24"/>
          <w:szCs w:val="24"/>
        </w:rPr>
        <w:t>,</w:t>
      </w:r>
      <w:r w:rsidR="00E87AE8" w:rsidRPr="00100E9E">
        <w:rPr>
          <w:rFonts w:cs="Times New Roman"/>
          <w:sz w:val="24"/>
          <w:szCs w:val="24"/>
        </w:rPr>
        <w:t xml:space="preserve"> the CIL</w:t>
      </w:r>
      <w:r w:rsidR="0065453A">
        <w:rPr>
          <w:rFonts w:cs="Times New Roman"/>
          <w:sz w:val="24"/>
          <w:szCs w:val="24"/>
        </w:rPr>
        <w:t xml:space="preserve"> </w:t>
      </w:r>
      <w:r w:rsidR="00E87AE8" w:rsidRPr="00100E9E">
        <w:rPr>
          <w:rFonts w:cs="Times New Roman"/>
          <w:sz w:val="24"/>
          <w:szCs w:val="24"/>
        </w:rPr>
        <w:t>s</w:t>
      </w:r>
      <w:r w:rsidR="0065453A">
        <w:rPr>
          <w:rFonts w:cs="Times New Roman"/>
          <w:sz w:val="24"/>
          <w:szCs w:val="24"/>
        </w:rPr>
        <w:t>taff</w:t>
      </w:r>
      <w:r w:rsidR="00E87AE8" w:rsidRPr="00100E9E">
        <w:rPr>
          <w:rFonts w:cs="Times New Roman"/>
          <w:sz w:val="24"/>
          <w:szCs w:val="24"/>
        </w:rPr>
        <w:t>: a) entered their activities and accomplishments; b)</w:t>
      </w:r>
      <w:r w:rsidR="008E28FC" w:rsidRPr="00100E9E">
        <w:rPr>
          <w:rFonts w:cs="Times New Roman"/>
          <w:sz w:val="24"/>
          <w:szCs w:val="24"/>
        </w:rPr>
        <w:t xml:space="preserve"> coded instances of</w:t>
      </w:r>
      <w:r w:rsidR="00D75187" w:rsidRPr="00100E9E">
        <w:rPr>
          <w:rFonts w:cs="Times New Roman"/>
          <w:sz w:val="24"/>
          <w:szCs w:val="24"/>
        </w:rPr>
        <w:t xml:space="preserve"> </w:t>
      </w:r>
      <w:r w:rsidR="008E28FC" w:rsidRPr="00100E9E">
        <w:rPr>
          <w:rFonts w:cs="Times New Roman"/>
          <w:sz w:val="24"/>
          <w:szCs w:val="24"/>
        </w:rPr>
        <w:t>development activities</w:t>
      </w:r>
      <w:r w:rsidR="00E87AE8" w:rsidRPr="00100E9E">
        <w:rPr>
          <w:rFonts w:cs="Times New Roman"/>
          <w:sz w:val="24"/>
          <w:szCs w:val="24"/>
        </w:rPr>
        <w:t>,</w:t>
      </w:r>
      <w:r w:rsidR="00BD2770">
        <w:rPr>
          <w:rFonts w:cs="Times New Roman"/>
          <w:sz w:val="24"/>
          <w:szCs w:val="24"/>
        </w:rPr>
        <w:t xml:space="preserve"> services provided,</w:t>
      </w:r>
      <w:r w:rsidR="00E87AE8" w:rsidRPr="00100E9E">
        <w:rPr>
          <w:rFonts w:cs="Times New Roman"/>
          <w:sz w:val="24"/>
          <w:szCs w:val="24"/>
        </w:rPr>
        <w:t xml:space="preserve"> </w:t>
      </w:r>
      <w:r w:rsidR="008E28FC" w:rsidRPr="00100E9E">
        <w:rPr>
          <w:rFonts w:cs="Times New Roman"/>
          <w:sz w:val="24"/>
          <w:szCs w:val="24"/>
        </w:rPr>
        <w:t>community actions to bring about community changes</w:t>
      </w:r>
      <w:r w:rsidR="00E87AE8" w:rsidRPr="00100E9E">
        <w:rPr>
          <w:rFonts w:cs="Times New Roman"/>
          <w:sz w:val="24"/>
          <w:szCs w:val="24"/>
        </w:rPr>
        <w:t xml:space="preserve">, </w:t>
      </w:r>
      <w:r w:rsidR="00BD2770">
        <w:rPr>
          <w:rFonts w:cs="Times New Roman"/>
          <w:sz w:val="24"/>
          <w:szCs w:val="24"/>
        </w:rPr>
        <w:t xml:space="preserve">and </w:t>
      </w:r>
      <w:r w:rsidR="00E87AE8" w:rsidRPr="00100E9E">
        <w:rPr>
          <w:rFonts w:cs="Times New Roman"/>
          <w:sz w:val="24"/>
          <w:szCs w:val="24"/>
        </w:rPr>
        <w:t>the new or modified programs and policies</w:t>
      </w:r>
      <w:r w:rsidR="00E80CFD" w:rsidRPr="00100E9E">
        <w:rPr>
          <w:rFonts w:cs="Times New Roman"/>
          <w:sz w:val="24"/>
          <w:szCs w:val="24"/>
        </w:rPr>
        <w:t xml:space="preserve"> that constitute community change</w:t>
      </w:r>
      <w:r w:rsidR="00E87AE8" w:rsidRPr="00100E9E">
        <w:rPr>
          <w:rFonts w:cs="Times New Roman"/>
          <w:sz w:val="24"/>
          <w:szCs w:val="24"/>
        </w:rPr>
        <w:t>; and c</w:t>
      </w:r>
      <w:r w:rsidR="008E28FC" w:rsidRPr="00100E9E">
        <w:rPr>
          <w:rFonts w:cs="Times New Roman"/>
          <w:sz w:val="24"/>
          <w:szCs w:val="24"/>
        </w:rPr>
        <w:t xml:space="preserve">) they characterized </w:t>
      </w:r>
      <w:r w:rsidR="00AB6959">
        <w:rPr>
          <w:rFonts w:cs="Times New Roman"/>
          <w:sz w:val="24"/>
          <w:szCs w:val="24"/>
        </w:rPr>
        <w:t>accomplishments</w:t>
      </w:r>
      <w:r w:rsidR="00BD2770">
        <w:rPr>
          <w:rFonts w:cs="Times New Roman"/>
          <w:sz w:val="24"/>
          <w:szCs w:val="24"/>
        </w:rPr>
        <w:t xml:space="preserve"> for key attributes, </w:t>
      </w:r>
      <w:r w:rsidR="008E28FC" w:rsidRPr="00100E9E">
        <w:rPr>
          <w:rFonts w:cs="Times New Roman"/>
          <w:sz w:val="24"/>
          <w:szCs w:val="24"/>
        </w:rPr>
        <w:t xml:space="preserve">including </w:t>
      </w:r>
      <w:r w:rsidR="00D75187" w:rsidRPr="00100E9E">
        <w:rPr>
          <w:rFonts w:cs="Times New Roman"/>
          <w:sz w:val="24"/>
          <w:szCs w:val="24"/>
        </w:rPr>
        <w:t xml:space="preserve">the </w:t>
      </w:r>
      <w:r w:rsidR="008E28FC" w:rsidRPr="00100E9E">
        <w:rPr>
          <w:rFonts w:cs="Times New Roman"/>
          <w:sz w:val="24"/>
          <w:szCs w:val="24"/>
        </w:rPr>
        <w:t>behavior change strategy used, duration</w:t>
      </w:r>
      <w:r w:rsidR="00E80CFD" w:rsidRPr="00100E9E">
        <w:rPr>
          <w:rFonts w:cs="Times New Roman"/>
          <w:sz w:val="24"/>
          <w:szCs w:val="24"/>
        </w:rPr>
        <w:t xml:space="preserve"> or the length of time and frequency of the change</w:t>
      </w:r>
      <w:r w:rsidR="008E28FC" w:rsidRPr="00100E9E">
        <w:rPr>
          <w:rFonts w:cs="Times New Roman"/>
          <w:sz w:val="24"/>
          <w:szCs w:val="24"/>
        </w:rPr>
        <w:t xml:space="preserve">, </w:t>
      </w:r>
      <w:r w:rsidR="00BD2770">
        <w:rPr>
          <w:rFonts w:cs="Times New Roman"/>
          <w:sz w:val="24"/>
          <w:szCs w:val="24"/>
        </w:rPr>
        <w:t xml:space="preserve">and </w:t>
      </w:r>
      <w:r w:rsidR="00D93241" w:rsidRPr="00100E9E">
        <w:rPr>
          <w:rFonts w:cs="Times New Roman"/>
          <w:sz w:val="24"/>
          <w:szCs w:val="24"/>
        </w:rPr>
        <w:t xml:space="preserve">number of people </w:t>
      </w:r>
      <w:r w:rsidR="008E28FC" w:rsidRPr="00100E9E">
        <w:rPr>
          <w:rFonts w:cs="Times New Roman"/>
          <w:sz w:val="24"/>
          <w:szCs w:val="24"/>
        </w:rPr>
        <w:t>reach</w:t>
      </w:r>
      <w:r w:rsidR="00D93241" w:rsidRPr="00100E9E">
        <w:rPr>
          <w:rFonts w:cs="Times New Roman"/>
          <w:sz w:val="24"/>
          <w:szCs w:val="24"/>
        </w:rPr>
        <w:t>ed</w:t>
      </w:r>
      <w:r w:rsidR="008E28FC" w:rsidRPr="00100E9E">
        <w:rPr>
          <w:rFonts w:cs="Times New Roman"/>
          <w:sz w:val="24"/>
          <w:szCs w:val="24"/>
        </w:rPr>
        <w:t xml:space="preserve">. The KU </w:t>
      </w:r>
      <w:r w:rsidR="00E80CFD" w:rsidRPr="00100E9E">
        <w:rPr>
          <w:rFonts w:cs="Times New Roman"/>
          <w:sz w:val="24"/>
          <w:szCs w:val="24"/>
        </w:rPr>
        <w:t xml:space="preserve">research </w:t>
      </w:r>
      <w:r w:rsidR="008E28FC" w:rsidRPr="00100E9E">
        <w:rPr>
          <w:rFonts w:cs="Times New Roman"/>
          <w:sz w:val="24"/>
          <w:szCs w:val="24"/>
        </w:rPr>
        <w:t>team c</w:t>
      </w:r>
      <w:r w:rsidRPr="00100E9E">
        <w:rPr>
          <w:rFonts w:cs="Times New Roman"/>
          <w:sz w:val="24"/>
          <w:szCs w:val="24"/>
        </w:rPr>
        <w:t xml:space="preserve">alculated </w:t>
      </w:r>
      <w:r w:rsidR="008E28FC" w:rsidRPr="00100E9E">
        <w:rPr>
          <w:rFonts w:cs="Times New Roman"/>
          <w:sz w:val="24"/>
          <w:szCs w:val="24"/>
        </w:rPr>
        <w:t xml:space="preserve">the intensity score </w:t>
      </w:r>
      <w:r w:rsidR="00E80CFD" w:rsidRPr="00100E9E">
        <w:rPr>
          <w:rFonts w:cs="Times New Roman"/>
          <w:sz w:val="24"/>
          <w:szCs w:val="24"/>
        </w:rPr>
        <w:t>for each community change</w:t>
      </w:r>
      <w:r w:rsidR="008E28FC" w:rsidRPr="00100E9E">
        <w:rPr>
          <w:rFonts w:cs="Times New Roman"/>
          <w:sz w:val="24"/>
          <w:szCs w:val="24"/>
        </w:rPr>
        <w:t xml:space="preserve"> </w:t>
      </w:r>
      <w:r w:rsidR="00E80CFD" w:rsidRPr="00100E9E">
        <w:rPr>
          <w:rFonts w:cs="Times New Roman"/>
          <w:sz w:val="24"/>
          <w:szCs w:val="24"/>
        </w:rPr>
        <w:t xml:space="preserve">in order to measure and </w:t>
      </w:r>
      <w:r w:rsidR="008E28FC" w:rsidRPr="00100E9E">
        <w:rPr>
          <w:rFonts w:cs="Times New Roman"/>
          <w:sz w:val="24"/>
          <w:szCs w:val="24"/>
        </w:rPr>
        <w:t>communicat</w:t>
      </w:r>
      <w:r w:rsidR="00E80CFD" w:rsidRPr="00100E9E">
        <w:rPr>
          <w:rFonts w:cs="Times New Roman"/>
          <w:sz w:val="24"/>
          <w:szCs w:val="24"/>
        </w:rPr>
        <w:t>e its</w:t>
      </w:r>
      <w:r w:rsidR="008E28FC" w:rsidRPr="00100E9E">
        <w:rPr>
          <w:rFonts w:cs="Times New Roman"/>
          <w:sz w:val="24"/>
          <w:szCs w:val="24"/>
        </w:rPr>
        <w:t xml:space="preserve"> contribution </w:t>
      </w:r>
      <w:r w:rsidR="00E80CFD" w:rsidRPr="00100E9E">
        <w:rPr>
          <w:rFonts w:cs="Times New Roman"/>
          <w:sz w:val="24"/>
          <w:szCs w:val="24"/>
        </w:rPr>
        <w:t>to the improvement of full participation in the community. A</w:t>
      </w:r>
      <w:r w:rsidR="00BD2770">
        <w:rPr>
          <w:rFonts w:cs="Times New Roman"/>
          <w:sz w:val="24"/>
          <w:szCs w:val="24"/>
        </w:rPr>
        <w:t xml:space="preserve"> numerical value</w:t>
      </w:r>
      <w:r w:rsidR="006A7849" w:rsidRPr="00100E9E">
        <w:rPr>
          <w:rFonts w:cs="Times New Roman"/>
          <w:sz w:val="24"/>
          <w:szCs w:val="24"/>
        </w:rPr>
        <w:t xml:space="preserve"> </w:t>
      </w:r>
      <w:r w:rsidR="00E80CFD" w:rsidRPr="00100E9E">
        <w:rPr>
          <w:rFonts w:cs="Times New Roman"/>
          <w:sz w:val="24"/>
          <w:szCs w:val="24"/>
        </w:rPr>
        <w:t>was assigned t</w:t>
      </w:r>
      <w:r w:rsidR="006A7849" w:rsidRPr="00100E9E">
        <w:rPr>
          <w:rFonts w:cs="Times New Roman"/>
          <w:sz w:val="24"/>
          <w:szCs w:val="24"/>
        </w:rPr>
        <w:t xml:space="preserve">o </w:t>
      </w:r>
      <w:r w:rsidR="00BD2770">
        <w:rPr>
          <w:rFonts w:cs="Times New Roman"/>
          <w:sz w:val="24"/>
          <w:szCs w:val="24"/>
        </w:rPr>
        <w:t>the strategy, duration, and reach of each community change</w:t>
      </w:r>
      <w:r w:rsidR="00E80CFD" w:rsidRPr="00100E9E">
        <w:rPr>
          <w:rFonts w:cs="Times New Roman"/>
          <w:sz w:val="24"/>
          <w:szCs w:val="24"/>
        </w:rPr>
        <w:t xml:space="preserve">. These values </w:t>
      </w:r>
      <w:r w:rsidR="006A7849" w:rsidRPr="00100E9E">
        <w:rPr>
          <w:rFonts w:cs="Times New Roman"/>
          <w:sz w:val="24"/>
          <w:szCs w:val="24"/>
        </w:rPr>
        <w:t xml:space="preserve">were summed to obtain a single intensity score for each </w:t>
      </w:r>
      <w:r w:rsidR="00BD2770">
        <w:rPr>
          <w:rFonts w:cs="Times New Roman"/>
          <w:sz w:val="24"/>
          <w:szCs w:val="24"/>
        </w:rPr>
        <w:t>new or modified program or</w:t>
      </w:r>
      <w:r w:rsidR="006A7849" w:rsidRPr="00100E9E">
        <w:rPr>
          <w:rFonts w:cs="Times New Roman"/>
          <w:sz w:val="24"/>
          <w:szCs w:val="24"/>
        </w:rPr>
        <w:t xml:space="preserve"> policy. Intensity scores for each program or policy were then summed for form a </w:t>
      </w:r>
      <w:r w:rsidR="00E80CFD" w:rsidRPr="00100E9E">
        <w:rPr>
          <w:rFonts w:cs="Times New Roman"/>
          <w:sz w:val="24"/>
          <w:szCs w:val="24"/>
        </w:rPr>
        <w:t xml:space="preserve">total </w:t>
      </w:r>
      <w:r w:rsidR="006A7849" w:rsidRPr="00100E9E">
        <w:rPr>
          <w:rFonts w:cs="Times New Roman"/>
          <w:sz w:val="24"/>
          <w:szCs w:val="24"/>
        </w:rPr>
        <w:t>comm</w:t>
      </w:r>
      <w:r w:rsidR="00E80CFD" w:rsidRPr="00100E9E">
        <w:rPr>
          <w:rFonts w:cs="Times New Roman"/>
          <w:sz w:val="24"/>
          <w:szCs w:val="24"/>
        </w:rPr>
        <w:t>unity intensity score, for all of the</w:t>
      </w:r>
      <w:r w:rsidR="006A7849" w:rsidRPr="00100E9E">
        <w:rPr>
          <w:rFonts w:cs="Times New Roman"/>
          <w:sz w:val="24"/>
          <w:szCs w:val="24"/>
        </w:rPr>
        <w:t xml:space="preserve"> programs and policies in place prior to training and </w:t>
      </w:r>
      <w:r w:rsidR="00DD1B63">
        <w:rPr>
          <w:rFonts w:cs="Times New Roman"/>
          <w:sz w:val="24"/>
          <w:szCs w:val="24"/>
        </w:rPr>
        <w:t xml:space="preserve">for those in place </w:t>
      </w:r>
      <w:r w:rsidR="006A7849" w:rsidRPr="00100E9E">
        <w:rPr>
          <w:rFonts w:cs="Times New Roman"/>
          <w:sz w:val="24"/>
          <w:szCs w:val="24"/>
        </w:rPr>
        <w:t>after training.</w:t>
      </w:r>
      <w:r w:rsidR="00E80CFD" w:rsidRPr="00100E9E">
        <w:rPr>
          <w:rFonts w:cs="Times New Roman"/>
          <w:sz w:val="24"/>
          <w:szCs w:val="24"/>
        </w:rPr>
        <w:t xml:space="preserve"> These results were used only by researchers for analysis of the results of the study. </w:t>
      </w:r>
    </w:p>
    <w:p w:rsidR="006A7849" w:rsidRPr="00100E9E" w:rsidRDefault="00D570AD" w:rsidP="007F12E7">
      <w:pPr>
        <w:spacing w:after="120"/>
        <w:rPr>
          <w:rFonts w:cs="Times New Roman"/>
          <w:sz w:val="24"/>
          <w:szCs w:val="24"/>
        </w:rPr>
      </w:pPr>
      <w:r w:rsidRPr="00100E9E">
        <w:rPr>
          <w:rFonts w:cs="Times New Roman"/>
          <w:sz w:val="24"/>
          <w:szCs w:val="24"/>
        </w:rPr>
        <w:t>Researchers</w:t>
      </w:r>
      <w:r w:rsidR="0066231C" w:rsidRPr="00100E9E">
        <w:rPr>
          <w:rFonts w:cs="Times New Roman"/>
          <w:sz w:val="24"/>
          <w:szCs w:val="24"/>
        </w:rPr>
        <w:t xml:space="preserve"> conducted </w:t>
      </w:r>
      <w:r w:rsidRPr="00100E9E">
        <w:rPr>
          <w:rFonts w:cs="Times New Roman"/>
          <w:sz w:val="24"/>
          <w:szCs w:val="24"/>
        </w:rPr>
        <w:t xml:space="preserve">interviews </w:t>
      </w:r>
      <w:r w:rsidR="0066231C" w:rsidRPr="00100E9E">
        <w:rPr>
          <w:rFonts w:cs="Times New Roman"/>
          <w:sz w:val="24"/>
          <w:szCs w:val="24"/>
        </w:rPr>
        <w:t>with CIL</w:t>
      </w:r>
      <w:r w:rsidRPr="00100E9E">
        <w:rPr>
          <w:rFonts w:cs="Times New Roman"/>
          <w:sz w:val="24"/>
          <w:szCs w:val="24"/>
        </w:rPr>
        <w:t xml:space="preserve"> staff</w:t>
      </w:r>
      <w:r w:rsidR="0066231C" w:rsidRPr="00100E9E">
        <w:rPr>
          <w:rFonts w:cs="Times New Roman"/>
          <w:sz w:val="24"/>
          <w:szCs w:val="24"/>
        </w:rPr>
        <w:t xml:space="preserve"> to identify key events that may have affected the implementation of community changes</w:t>
      </w:r>
      <w:r w:rsidR="00E80CFD" w:rsidRPr="00100E9E">
        <w:rPr>
          <w:rFonts w:cs="Times New Roman"/>
          <w:sz w:val="24"/>
          <w:szCs w:val="24"/>
        </w:rPr>
        <w:t>. C</w:t>
      </w:r>
      <w:r w:rsidR="0066231C" w:rsidRPr="00100E9E">
        <w:rPr>
          <w:rFonts w:cs="Times New Roman"/>
          <w:sz w:val="24"/>
          <w:szCs w:val="24"/>
        </w:rPr>
        <w:t xml:space="preserve">hallenges that </w:t>
      </w:r>
      <w:r w:rsidR="00E80CFD" w:rsidRPr="00100E9E">
        <w:rPr>
          <w:rFonts w:cs="Times New Roman"/>
          <w:sz w:val="24"/>
          <w:szCs w:val="24"/>
        </w:rPr>
        <w:t>made</w:t>
      </w:r>
      <w:r w:rsidRPr="00100E9E">
        <w:rPr>
          <w:rFonts w:cs="Times New Roman"/>
          <w:sz w:val="24"/>
          <w:szCs w:val="24"/>
        </w:rPr>
        <w:t xml:space="preserve"> </w:t>
      </w:r>
      <w:r w:rsidR="0066231C" w:rsidRPr="00100E9E">
        <w:rPr>
          <w:rFonts w:cs="Times New Roman"/>
          <w:sz w:val="24"/>
          <w:szCs w:val="24"/>
        </w:rPr>
        <w:t>implement</w:t>
      </w:r>
      <w:r w:rsidRPr="00100E9E">
        <w:rPr>
          <w:rFonts w:cs="Times New Roman"/>
          <w:sz w:val="24"/>
          <w:szCs w:val="24"/>
        </w:rPr>
        <w:t>ing</w:t>
      </w:r>
      <w:r w:rsidR="0066231C" w:rsidRPr="00100E9E">
        <w:rPr>
          <w:rFonts w:cs="Times New Roman"/>
          <w:sz w:val="24"/>
          <w:szCs w:val="24"/>
        </w:rPr>
        <w:t xml:space="preserve"> community changes </w:t>
      </w:r>
      <w:r w:rsidR="00E80CFD" w:rsidRPr="00100E9E">
        <w:rPr>
          <w:rFonts w:cs="Times New Roman"/>
          <w:sz w:val="24"/>
          <w:szCs w:val="24"/>
        </w:rPr>
        <w:t xml:space="preserve">more difficult </w:t>
      </w:r>
      <w:r w:rsidR="0066231C" w:rsidRPr="00100E9E">
        <w:rPr>
          <w:rFonts w:cs="Times New Roman"/>
          <w:sz w:val="24"/>
          <w:szCs w:val="24"/>
        </w:rPr>
        <w:t xml:space="preserve">and facilitating conditions that </w:t>
      </w:r>
      <w:r w:rsidRPr="00100E9E">
        <w:rPr>
          <w:rFonts w:cs="Times New Roman"/>
          <w:sz w:val="24"/>
          <w:szCs w:val="24"/>
        </w:rPr>
        <w:t xml:space="preserve">made </w:t>
      </w:r>
      <w:r w:rsidR="0066231C" w:rsidRPr="00100E9E">
        <w:rPr>
          <w:rFonts w:cs="Times New Roman"/>
          <w:sz w:val="24"/>
          <w:szCs w:val="24"/>
        </w:rPr>
        <w:t xml:space="preserve">community change </w:t>
      </w:r>
      <w:r w:rsidRPr="00100E9E">
        <w:rPr>
          <w:rFonts w:cs="Times New Roman"/>
          <w:sz w:val="24"/>
          <w:szCs w:val="24"/>
        </w:rPr>
        <w:t xml:space="preserve">implementation </w:t>
      </w:r>
      <w:r w:rsidR="0066231C" w:rsidRPr="00100E9E">
        <w:rPr>
          <w:rFonts w:cs="Times New Roman"/>
          <w:sz w:val="24"/>
          <w:szCs w:val="24"/>
        </w:rPr>
        <w:t>more likely</w:t>
      </w:r>
      <w:r w:rsidR="00E80CFD" w:rsidRPr="00100E9E">
        <w:rPr>
          <w:rFonts w:cs="Times New Roman"/>
          <w:sz w:val="24"/>
          <w:szCs w:val="24"/>
        </w:rPr>
        <w:t xml:space="preserve"> were also collected</w:t>
      </w:r>
      <w:r w:rsidR="0066231C" w:rsidRPr="00100E9E">
        <w:rPr>
          <w:rFonts w:cs="Times New Roman"/>
          <w:sz w:val="24"/>
          <w:szCs w:val="24"/>
        </w:rPr>
        <w:t xml:space="preserve">. </w:t>
      </w:r>
    </w:p>
    <w:p w:rsidR="00062C8E" w:rsidRPr="00100E9E" w:rsidRDefault="0096023D" w:rsidP="007F12E7">
      <w:pPr>
        <w:spacing w:after="120"/>
        <w:jc w:val="both"/>
        <w:rPr>
          <w:rFonts w:cs="Times New Roman"/>
          <w:sz w:val="24"/>
          <w:szCs w:val="24"/>
          <w:u w:val="single"/>
        </w:rPr>
      </w:pPr>
      <w:r w:rsidRPr="00100E9E">
        <w:rPr>
          <w:rFonts w:cs="Times New Roman"/>
          <w:sz w:val="24"/>
          <w:szCs w:val="24"/>
          <w:u w:val="single"/>
        </w:rPr>
        <w:t>Results</w:t>
      </w:r>
    </w:p>
    <w:p w:rsidR="00DC4899" w:rsidRPr="00100E9E" w:rsidRDefault="00CD21DF" w:rsidP="007F12E7">
      <w:pPr>
        <w:spacing w:after="120" w:line="276" w:lineRule="auto"/>
        <w:rPr>
          <w:rFonts w:cs="Times New Roman"/>
          <w:sz w:val="24"/>
          <w:szCs w:val="24"/>
        </w:rPr>
      </w:pPr>
      <w:r w:rsidRPr="00100E9E">
        <w:rPr>
          <w:rFonts w:cs="Times New Roman"/>
          <w:sz w:val="24"/>
          <w:szCs w:val="24"/>
        </w:rPr>
        <w:t xml:space="preserve">The project sought to increase community actions and changes that would increase participation for citizens with disabilities. </w:t>
      </w:r>
      <w:r w:rsidR="005F257B" w:rsidRPr="00100E9E">
        <w:rPr>
          <w:rFonts w:cs="Times New Roman"/>
          <w:sz w:val="24"/>
          <w:szCs w:val="24"/>
        </w:rPr>
        <w:t>A</w:t>
      </w:r>
      <w:r w:rsidR="00062C8E" w:rsidRPr="00100E9E">
        <w:rPr>
          <w:rFonts w:cs="Times New Roman"/>
          <w:sz w:val="24"/>
          <w:szCs w:val="24"/>
        </w:rPr>
        <w:t xml:space="preserve">ll the community changes (i.e., new programs, policies and practices) implemented by the participating </w:t>
      </w:r>
      <w:r w:rsidR="00B9032A" w:rsidRPr="00100E9E">
        <w:rPr>
          <w:rFonts w:cs="Times New Roman"/>
          <w:sz w:val="24"/>
          <w:szCs w:val="24"/>
        </w:rPr>
        <w:t>CILs</w:t>
      </w:r>
      <w:r w:rsidR="00062C8E" w:rsidRPr="00100E9E">
        <w:rPr>
          <w:rFonts w:cs="Times New Roman"/>
          <w:sz w:val="24"/>
          <w:szCs w:val="24"/>
        </w:rPr>
        <w:t xml:space="preserve"> are displayed </w:t>
      </w:r>
      <w:r w:rsidR="00D570AD" w:rsidRPr="00100E9E">
        <w:rPr>
          <w:rFonts w:cs="Times New Roman"/>
          <w:sz w:val="24"/>
          <w:szCs w:val="24"/>
        </w:rPr>
        <w:t>in a</w:t>
      </w:r>
      <w:r w:rsidR="00DD1B63">
        <w:rPr>
          <w:rFonts w:cs="Times New Roman"/>
          <w:sz w:val="24"/>
          <w:szCs w:val="24"/>
        </w:rPr>
        <w:t xml:space="preserve"> </w:t>
      </w:r>
      <w:r w:rsidR="00062C8E" w:rsidRPr="00100E9E">
        <w:rPr>
          <w:rFonts w:cs="Times New Roman"/>
          <w:sz w:val="24"/>
          <w:szCs w:val="24"/>
        </w:rPr>
        <w:t>cumulative</w:t>
      </w:r>
      <w:r w:rsidR="00D570AD" w:rsidRPr="00100E9E">
        <w:rPr>
          <w:rFonts w:cs="Times New Roman"/>
          <w:sz w:val="24"/>
          <w:szCs w:val="24"/>
        </w:rPr>
        <w:t xml:space="preserve"> form </w:t>
      </w:r>
      <w:r w:rsidR="005F257B" w:rsidRPr="00100E9E">
        <w:rPr>
          <w:rFonts w:cs="Times New Roman"/>
          <w:sz w:val="24"/>
          <w:szCs w:val="24"/>
        </w:rPr>
        <w:t>in Figure 1</w:t>
      </w:r>
      <w:r w:rsidR="00062C8E" w:rsidRPr="00100E9E">
        <w:rPr>
          <w:rFonts w:cs="Times New Roman"/>
          <w:sz w:val="24"/>
          <w:szCs w:val="24"/>
        </w:rPr>
        <w:t xml:space="preserve">. The participating </w:t>
      </w:r>
      <w:r w:rsidR="00B9032A" w:rsidRPr="00100E9E">
        <w:rPr>
          <w:rFonts w:cs="Times New Roman"/>
          <w:sz w:val="24"/>
          <w:szCs w:val="24"/>
        </w:rPr>
        <w:t xml:space="preserve">CILs </w:t>
      </w:r>
      <w:r w:rsidR="00062C8E" w:rsidRPr="00100E9E">
        <w:rPr>
          <w:rFonts w:cs="Times New Roman"/>
          <w:sz w:val="24"/>
          <w:szCs w:val="24"/>
        </w:rPr>
        <w:t xml:space="preserve">implemented </w:t>
      </w:r>
      <w:r w:rsidR="00DD1B63">
        <w:rPr>
          <w:rFonts w:cs="Times New Roman"/>
          <w:sz w:val="24"/>
          <w:szCs w:val="24"/>
        </w:rPr>
        <w:t xml:space="preserve">a total of </w:t>
      </w:r>
      <w:r w:rsidR="004600D0">
        <w:rPr>
          <w:rFonts w:cs="Times New Roman"/>
          <w:sz w:val="24"/>
          <w:szCs w:val="24"/>
        </w:rPr>
        <w:t>197</w:t>
      </w:r>
      <w:r w:rsidR="00BE2845">
        <w:rPr>
          <w:rFonts w:cs="Times New Roman"/>
          <w:sz w:val="24"/>
          <w:szCs w:val="24"/>
        </w:rPr>
        <w:t>1</w:t>
      </w:r>
      <w:r w:rsidR="00062C8E" w:rsidRPr="00100E9E">
        <w:rPr>
          <w:rFonts w:cs="Times New Roman"/>
          <w:sz w:val="24"/>
          <w:szCs w:val="24"/>
        </w:rPr>
        <w:t xml:space="preserve"> community ch</w:t>
      </w:r>
      <w:r w:rsidR="004B2363" w:rsidRPr="00100E9E">
        <w:rPr>
          <w:rFonts w:cs="Times New Roman"/>
          <w:sz w:val="24"/>
          <w:szCs w:val="24"/>
        </w:rPr>
        <w:t xml:space="preserve">anges from August 2012 to April 2016. In the </w:t>
      </w:r>
      <w:r w:rsidR="00DC6899" w:rsidRPr="00100E9E">
        <w:rPr>
          <w:rFonts w:cs="Times New Roman"/>
          <w:sz w:val="24"/>
          <w:szCs w:val="24"/>
        </w:rPr>
        <w:t xml:space="preserve">following </w:t>
      </w:r>
      <w:r w:rsidR="004B2363" w:rsidRPr="00100E9E">
        <w:rPr>
          <w:rFonts w:cs="Times New Roman"/>
          <w:sz w:val="24"/>
          <w:szCs w:val="24"/>
        </w:rPr>
        <w:t>figure,</w:t>
      </w:r>
      <w:r w:rsidR="00DC6899" w:rsidRPr="00100E9E">
        <w:rPr>
          <w:rFonts w:cs="Times New Roman"/>
          <w:sz w:val="24"/>
          <w:szCs w:val="24"/>
        </w:rPr>
        <w:t xml:space="preserve"> a cumulative line in which </w:t>
      </w:r>
      <w:r w:rsidR="004B2363" w:rsidRPr="00100E9E">
        <w:rPr>
          <w:rFonts w:cs="Times New Roman"/>
          <w:sz w:val="24"/>
          <w:szCs w:val="24"/>
        </w:rPr>
        <w:t xml:space="preserve">new community changes are added to the previous changes </w:t>
      </w:r>
      <w:r w:rsidR="00DC6899" w:rsidRPr="00100E9E">
        <w:rPr>
          <w:rFonts w:cs="Times New Roman"/>
          <w:sz w:val="24"/>
          <w:szCs w:val="24"/>
        </w:rPr>
        <w:t>over time s</w:t>
      </w:r>
      <w:r w:rsidR="005F257B" w:rsidRPr="00100E9E">
        <w:rPr>
          <w:rFonts w:cs="Times New Roman"/>
          <w:sz w:val="24"/>
          <w:szCs w:val="24"/>
        </w:rPr>
        <w:t xml:space="preserve">hows the </w:t>
      </w:r>
      <w:r w:rsidR="004B2363" w:rsidRPr="00100E9E">
        <w:rPr>
          <w:rFonts w:cs="Times New Roman"/>
          <w:sz w:val="24"/>
          <w:szCs w:val="24"/>
        </w:rPr>
        <w:t xml:space="preserve">implementation of new programs, policies and practices </w:t>
      </w:r>
      <w:r w:rsidR="00DC6899" w:rsidRPr="00100E9E">
        <w:rPr>
          <w:rFonts w:cs="Times New Roman"/>
          <w:sz w:val="24"/>
          <w:szCs w:val="24"/>
        </w:rPr>
        <w:t xml:space="preserve">for all CILs </w:t>
      </w:r>
      <w:r w:rsidR="004B2363" w:rsidRPr="00100E9E">
        <w:rPr>
          <w:rFonts w:cs="Times New Roman"/>
          <w:sz w:val="24"/>
          <w:szCs w:val="24"/>
        </w:rPr>
        <w:t xml:space="preserve">during that time. </w:t>
      </w:r>
      <w:r w:rsidR="005E2A2B">
        <w:rPr>
          <w:rFonts w:cs="Times New Roman"/>
          <w:sz w:val="24"/>
          <w:szCs w:val="24"/>
        </w:rPr>
        <w:t xml:space="preserve">Key events reported by CILs as affecting their efforts are noted on the graph as well. </w:t>
      </w:r>
    </w:p>
    <w:p w:rsidR="00DC4899" w:rsidRDefault="00DC4899" w:rsidP="007F12E7">
      <w:pPr>
        <w:spacing w:after="120" w:line="276" w:lineRule="auto"/>
        <w:rPr>
          <w:rFonts w:cs="Times New Roman"/>
          <w:sz w:val="24"/>
          <w:szCs w:val="24"/>
        </w:rPr>
      </w:pPr>
    </w:p>
    <w:p w:rsidR="00654487" w:rsidRDefault="00654487" w:rsidP="007F12E7">
      <w:pPr>
        <w:spacing w:after="120" w:line="276" w:lineRule="auto"/>
        <w:rPr>
          <w:rFonts w:cs="Times New Roman"/>
          <w:sz w:val="24"/>
          <w:szCs w:val="24"/>
        </w:rPr>
      </w:pPr>
    </w:p>
    <w:p w:rsidR="00654487" w:rsidRDefault="00654487" w:rsidP="007F12E7">
      <w:pPr>
        <w:spacing w:after="120" w:line="276" w:lineRule="auto"/>
        <w:rPr>
          <w:rFonts w:cs="Times New Roman"/>
          <w:sz w:val="24"/>
          <w:szCs w:val="24"/>
        </w:rPr>
      </w:pPr>
    </w:p>
    <w:p w:rsidR="00654487" w:rsidRPr="00100E9E" w:rsidRDefault="00654487" w:rsidP="004B2363">
      <w:pPr>
        <w:spacing w:line="276" w:lineRule="auto"/>
        <w:rPr>
          <w:rFonts w:cs="Times New Roman"/>
          <w:sz w:val="24"/>
          <w:szCs w:val="24"/>
        </w:rPr>
      </w:pPr>
    </w:p>
    <w:p w:rsidR="00ED18CA" w:rsidRPr="002204EA" w:rsidRDefault="00654487" w:rsidP="00F8361D">
      <w:pPr>
        <w:jc w:val="center"/>
        <w:rPr>
          <w:rFonts w:cs="Times New Roman"/>
        </w:rPr>
      </w:pPr>
      <w:r w:rsidRPr="00654487">
        <w:rPr>
          <w:rFonts w:cs="Times New Roman"/>
          <w:noProof/>
        </w:rPr>
        <w:lastRenderedPageBreak/>
        <w:drawing>
          <wp:inline distT="0" distB="0" distL="0" distR="0" wp14:anchorId="39F527C0" wp14:editId="0D02D622">
            <wp:extent cx="5943600" cy="4585063"/>
            <wp:effectExtent l="0" t="0" r="0" b="6350"/>
            <wp:docPr id="6" name="Picture 6" descr="C:\Users\saramcel\Downloads\graph (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mcel\Downloads\graph (1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585063"/>
                    </a:xfrm>
                    <a:prstGeom prst="rect">
                      <a:avLst/>
                    </a:prstGeom>
                    <a:noFill/>
                    <a:ln>
                      <a:noFill/>
                    </a:ln>
                  </pic:spPr>
                </pic:pic>
              </a:graphicData>
            </a:graphic>
          </wp:inline>
        </w:drawing>
      </w:r>
      <w:r w:rsidR="00DC4899" w:rsidRPr="00100E9E">
        <w:rPr>
          <w:rFonts w:cs="Times New Roman"/>
          <w:noProof/>
        </w:rPr>
        <mc:AlternateContent>
          <mc:Choice Requires="wpg">
            <w:drawing>
              <wp:anchor distT="0" distB="0" distL="114300" distR="114300" simplePos="0" relativeHeight="251660288" behindDoc="0" locked="0" layoutInCell="1" allowOverlap="1" wp14:anchorId="40DD809D" wp14:editId="0C9BCB99">
                <wp:simplePos x="0" y="0"/>
                <wp:positionH relativeFrom="column">
                  <wp:posOffset>1209676</wp:posOffset>
                </wp:positionH>
                <wp:positionV relativeFrom="paragraph">
                  <wp:posOffset>1695450</wp:posOffset>
                </wp:positionV>
                <wp:extent cx="263074" cy="1476375"/>
                <wp:effectExtent l="0" t="0" r="3810" b="28575"/>
                <wp:wrapNone/>
                <wp:docPr id="4" name="Group 4"/>
                <wp:cNvGraphicFramePr/>
                <a:graphic xmlns:a="http://schemas.openxmlformats.org/drawingml/2006/main">
                  <a:graphicData uri="http://schemas.microsoft.com/office/word/2010/wordprocessingGroup">
                    <wpg:wgp>
                      <wpg:cNvGrpSpPr/>
                      <wpg:grpSpPr>
                        <a:xfrm>
                          <a:off x="0" y="0"/>
                          <a:ext cx="263074" cy="1476375"/>
                          <a:chOff x="-438149" y="438150"/>
                          <a:chExt cx="263074" cy="1476375"/>
                        </a:xfrm>
                      </wpg:grpSpPr>
                      <wps:wsp>
                        <wps:cNvPr id="217" name="Text Box 2"/>
                        <wps:cNvSpPr txBox="1">
                          <a:spLocks noChangeArrowheads="1"/>
                        </wps:cNvSpPr>
                        <wps:spPr bwMode="auto">
                          <a:xfrm rot="16200000">
                            <a:off x="-904875" y="948506"/>
                            <a:ext cx="1240155" cy="219444"/>
                          </a:xfrm>
                          <a:prstGeom prst="rect">
                            <a:avLst/>
                          </a:prstGeom>
                          <a:noFill/>
                          <a:ln w="9525">
                            <a:noFill/>
                            <a:miter lim="800000"/>
                            <a:headEnd/>
                            <a:tailEnd/>
                          </a:ln>
                        </wps:spPr>
                        <wps:txbx>
                          <w:txbxContent>
                            <w:p w:rsidR="007C17D2" w:rsidRPr="00A10729" w:rsidRDefault="007C17D2">
                              <w:pPr>
                                <w:rPr>
                                  <w:sz w:val="16"/>
                                  <w:szCs w:val="16"/>
                                </w:rPr>
                              </w:pPr>
                              <w:r w:rsidRPr="00DC4899">
                                <w:rPr>
                                  <w:sz w:val="16"/>
                                  <w:szCs w:val="16"/>
                                </w:rPr>
                                <w:t>Curriculum Training</w:t>
                              </w:r>
                            </w:p>
                            <w:p w:rsidR="007C17D2" w:rsidRDefault="007C17D2"/>
                          </w:txbxContent>
                        </wps:txbx>
                        <wps:bodyPr rot="0" vert="horz" wrap="square" lIns="91440" tIns="45720" rIns="91440" bIns="45720" anchor="t" anchorCtr="0">
                          <a:noAutofit/>
                        </wps:bodyPr>
                      </wps:wsp>
                      <wps:wsp>
                        <wps:cNvPr id="1" name="Straight Connector 1"/>
                        <wps:cNvCnPr>
                          <a:endCxn id="217" idx="1"/>
                        </wps:cNvCnPr>
                        <wps:spPr>
                          <a:xfrm flipV="1">
                            <a:off x="-438149" y="1677819"/>
                            <a:ext cx="153245" cy="236706"/>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0DD809D" id="Group 4" o:spid="_x0000_s1026" style="position:absolute;left:0;text-align:left;margin-left:95.25pt;margin-top:133.5pt;width:20.7pt;height:116.25pt;z-index:251660288;mso-width-relative:margin;mso-height-relative:margin" coordorigin="-4381,4381" coordsize="2630,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">
                <v:shapetype id="_x0000_t202" coordsize="21600,21600" o:spt="202" path="m,l,21600r21600,l21600,xe">
                  <v:stroke joinstyle="miter"/>
                  <v:path gradientshapeok="t" o:connecttype="rect"/>
                </v:shapetype>
                <v:shape id="Text Box 2" o:spid="_x0000_s1027" type="#_x0000_t202" style="position:absolute;left:-9048;top:9484;width:12402;height:21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" filled="f" stroked="f">
                  <v:textbox>
                    <w:txbxContent>
                      <w:p w:rsidR="007C17D2" w:rsidRPr="00A10729" w:rsidRDefault="007C17D2">
                        <w:pPr>
                          <w:rPr>
                            <w:sz w:val="16"/>
                            <w:szCs w:val="16"/>
                          </w:rPr>
                        </w:pPr>
                        <w:r w:rsidRPr="00DC4899">
                          <w:rPr>
                            <w:sz w:val="16"/>
                            <w:szCs w:val="16"/>
                          </w:rPr>
                          <w:t>Curriculum Training</w:t>
                        </w:r>
                      </w:p>
                      <w:p w:rsidR="007C17D2" w:rsidRDefault="007C17D2"/>
                    </w:txbxContent>
                  </v:textbox>
                </v:shape>
                <v:line id="Straight Connector 1" o:spid="_x0000_s1028" style="position:absolute;flip:y;visibility:visible;mso-wrap-style:square" from="-4381,16778" to="-2849,1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" strokecolor="black [3200]" strokeweight=".5pt">
                  <v:stroke joinstyle="miter"/>
                </v:line>
              </v:group>
            </w:pict>
          </mc:Fallback>
        </mc:AlternateContent>
      </w:r>
    </w:p>
    <w:p w:rsidR="00ED18CA" w:rsidRPr="00100E9E" w:rsidRDefault="003D4DFF" w:rsidP="009710C5">
      <w:pPr>
        <w:spacing w:line="276" w:lineRule="auto"/>
        <w:rPr>
          <w:rFonts w:eastAsia="Times New Roman" w:cs="Times New Roman"/>
          <w:color w:val="000000"/>
          <w:sz w:val="24"/>
          <w:szCs w:val="24"/>
        </w:rPr>
      </w:pPr>
      <w:r w:rsidRPr="00100E9E">
        <w:rPr>
          <w:rFonts w:cs="Times New Roman"/>
          <w:sz w:val="24"/>
          <w:szCs w:val="24"/>
        </w:rPr>
        <w:t xml:space="preserve">Categories </w:t>
      </w:r>
      <w:r w:rsidR="00EB5500" w:rsidRPr="00100E9E">
        <w:rPr>
          <w:rFonts w:cs="Times New Roman"/>
          <w:sz w:val="24"/>
          <w:szCs w:val="24"/>
        </w:rPr>
        <w:t xml:space="preserve">of </w:t>
      </w:r>
      <w:r w:rsidR="00B639EB">
        <w:rPr>
          <w:rFonts w:cs="Times New Roman"/>
          <w:sz w:val="24"/>
          <w:szCs w:val="24"/>
        </w:rPr>
        <w:t>behavior</w:t>
      </w:r>
      <w:r w:rsidR="00ED18CA" w:rsidRPr="00100E9E">
        <w:rPr>
          <w:rFonts w:cs="Times New Roman"/>
          <w:sz w:val="24"/>
          <w:szCs w:val="24"/>
        </w:rPr>
        <w:t xml:space="preserve"> change</w:t>
      </w:r>
      <w:r w:rsidR="00B639EB">
        <w:rPr>
          <w:rFonts w:cs="Times New Roman"/>
          <w:sz w:val="24"/>
          <w:szCs w:val="24"/>
        </w:rPr>
        <w:t xml:space="preserve"> strategies and examples of</w:t>
      </w:r>
      <w:r w:rsidRPr="00100E9E">
        <w:rPr>
          <w:rFonts w:cs="Times New Roman"/>
          <w:sz w:val="24"/>
          <w:szCs w:val="24"/>
        </w:rPr>
        <w:t xml:space="preserve"> changes identified </w:t>
      </w:r>
      <w:r w:rsidR="00EB5500" w:rsidRPr="00100E9E">
        <w:rPr>
          <w:rFonts w:cs="Times New Roman"/>
          <w:sz w:val="24"/>
          <w:szCs w:val="24"/>
        </w:rPr>
        <w:t xml:space="preserve">by the CILs </w:t>
      </w:r>
      <w:r w:rsidR="00ED18CA" w:rsidRPr="00100E9E">
        <w:rPr>
          <w:rFonts w:cs="Times New Roman"/>
          <w:sz w:val="24"/>
          <w:szCs w:val="24"/>
        </w:rPr>
        <w:t xml:space="preserve">include: a) </w:t>
      </w:r>
      <w:r w:rsidR="00EB5500" w:rsidRPr="00100E9E">
        <w:rPr>
          <w:rFonts w:cs="Times New Roman"/>
          <w:i/>
          <w:sz w:val="24"/>
          <w:szCs w:val="24"/>
        </w:rPr>
        <w:t xml:space="preserve">providing </w:t>
      </w:r>
      <w:r w:rsidR="007C18F2" w:rsidRPr="00100E9E">
        <w:rPr>
          <w:rFonts w:cs="Times New Roman"/>
          <w:i/>
          <w:sz w:val="24"/>
          <w:szCs w:val="24"/>
        </w:rPr>
        <w:t>information</w:t>
      </w:r>
      <w:r w:rsidR="007C18F2" w:rsidRPr="00100E9E">
        <w:rPr>
          <w:rFonts w:cs="Times New Roman"/>
          <w:sz w:val="24"/>
          <w:szCs w:val="24"/>
        </w:rPr>
        <w:t xml:space="preserve"> - presentation at </w:t>
      </w:r>
      <w:r w:rsidRPr="00100E9E">
        <w:rPr>
          <w:rFonts w:cs="Times New Roman"/>
          <w:sz w:val="24"/>
          <w:szCs w:val="24"/>
        </w:rPr>
        <w:t>“</w:t>
      </w:r>
      <w:r w:rsidR="007C18F2" w:rsidRPr="00100E9E">
        <w:rPr>
          <w:rFonts w:cs="Times New Roman"/>
          <w:sz w:val="24"/>
          <w:szCs w:val="24"/>
        </w:rPr>
        <w:t>lunch and learn</w:t>
      </w:r>
      <w:r w:rsidRPr="00100E9E">
        <w:rPr>
          <w:rFonts w:cs="Times New Roman"/>
          <w:sz w:val="24"/>
          <w:szCs w:val="24"/>
        </w:rPr>
        <w:t>”</w:t>
      </w:r>
      <w:r w:rsidR="007C18F2" w:rsidRPr="00100E9E">
        <w:rPr>
          <w:rFonts w:cs="Times New Roman"/>
          <w:sz w:val="24"/>
          <w:szCs w:val="24"/>
        </w:rPr>
        <w:t xml:space="preserve"> to </w:t>
      </w:r>
      <w:r w:rsidR="00EB5500" w:rsidRPr="00100E9E">
        <w:rPr>
          <w:rFonts w:cs="Times New Roman"/>
          <w:sz w:val="24"/>
          <w:szCs w:val="24"/>
        </w:rPr>
        <w:t>case managers at the Area O</w:t>
      </w:r>
      <w:r w:rsidR="007C18F2" w:rsidRPr="00100E9E">
        <w:rPr>
          <w:rFonts w:cs="Times New Roman"/>
          <w:sz w:val="24"/>
          <w:szCs w:val="24"/>
        </w:rPr>
        <w:t xml:space="preserve">ffice on Aging to provide education </w:t>
      </w:r>
      <w:r w:rsidR="00EB5500" w:rsidRPr="00100E9E">
        <w:rPr>
          <w:rFonts w:cs="Times New Roman"/>
          <w:sz w:val="24"/>
          <w:szCs w:val="24"/>
        </w:rPr>
        <w:t>on the value of independent living</w:t>
      </w:r>
      <w:r w:rsidR="007C18F2" w:rsidRPr="00100E9E">
        <w:rPr>
          <w:rFonts w:cs="Times New Roman"/>
          <w:sz w:val="24"/>
          <w:szCs w:val="24"/>
        </w:rPr>
        <w:t xml:space="preserve">; </w:t>
      </w:r>
      <w:r w:rsidR="00ED18CA" w:rsidRPr="00100E9E">
        <w:rPr>
          <w:rFonts w:eastAsia="Times New Roman" w:cs="Times New Roman"/>
          <w:color w:val="000000"/>
          <w:sz w:val="24"/>
          <w:szCs w:val="24"/>
        </w:rPr>
        <w:t>b)</w:t>
      </w:r>
      <w:r w:rsidR="00403BD9" w:rsidRPr="00100E9E">
        <w:rPr>
          <w:rFonts w:cs="Times New Roman"/>
          <w:color w:val="000000"/>
          <w:sz w:val="24"/>
          <w:szCs w:val="24"/>
        </w:rPr>
        <w:t xml:space="preserve"> </w:t>
      </w:r>
      <w:r w:rsidR="0054607D" w:rsidRPr="00100E9E">
        <w:rPr>
          <w:rFonts w:cs="Times New Roman"/>
          <w:i/>
          <w:color w:val="000000"/>
          <w:sz w:val="24"/>
          <w:szCs w:val="24"/>
        </w:rPr>
        <w:t>enhancing services and support</w:t>
      </w:r>
      <w:r w:rsidR="0054607D" w:rsidRPr="00100E9E">
        <w:rPr>
          <w:rFonts w:cs="Times New Roman"/>
          <w:color w:val="000000"/>
          <w:sz w:val="24"/>
          <w:szCs w:val="24"/>
        </w:rPr>
        <w:t xml:space="preserve"> - </w:t>
      </w:r>
      <w:r w:rsidR="00EB5500" w:rsidRPr="00100E9E">
        <w:rPr>
          <w:rFonts w:cs="Times New Roman"/>
          <w:color w:val="000000"/>
          <w:sz w:val="24"/>
          <w:szCs w:val="24"/>
        </w:rPr>
        <w:t>l</w:t>
      </w:r>
      <w:r w:rsidR="0054607D" w:rsidRPr="00100E9E">
        <w:rPr>
          <w:rFonts w:cs="Times New Roman"/>
          <w:color w:val="000000"/>
          <w:sz w:val="24"/>
          <w:szCs w:val="24"/>
        </w:rPr>
        <w:t>aunched new low</w:t>
      </w:r>
      <w:r w:rsidR="00696FDE">
        <w:rPr>
          <w:rFonts w:cs="Times New Roman"/>
          <w:color w:val="000000"/>
          <w:sz w:val="24"/>
          <w:szCs w:val="24"/>
        </w:rPr>
        <w:t>-</w:t>
      </w:r>
      <w:r w:rsidR="00EB5500" w:rsidRPr="00100E9E">
        <w:rPr>
          <w:rFonts w:cs="Times New Roman"/>
          <w:color w:val="000000"/>
          <w:sz w:val="24"/>
          <w:szCs w:val="24"/>
        </w:rPr>
        <w:t>vision support group in the community</w:t>
      </w:r>
      <w:r w:rsidR="004E761A" w:rsidRPr="00100E9E">
        <w:rPr>
          <w:rFonts w:cs="Times New Roman"/>
          <w:color w:val="000000"/>
          <w:sz w:val="24"/>
          <w:szCs w:val="24"/>
        </w:rPr>
        <w:t xml:space="preserve">; c) </w:t>
      </w:r>
      <w:r w:rsidRPr="00100E9E">
        <w:rPr>
          <w:rFonts w:cs="Times New Roman"/>
          <w:i/>
          <w:color w:val="000000"/>
          <w:sz w:val="24"/>
          <w:szCs w:val="24"/>
        </w:rPr>
        <w:t>i</w:t>
      </w:r>
      <w:r w:rsidR="007C18F2" w:rsidRPr="00100E9E">
        <w:rPr>
          <w:rFonts w:cs="Times New Roman"/>
          <w:i/>
          <w:color w:val="000000"/>
          <w:sz w:val="24"/>
          <w:szCs w:val="24"/>
        </w:rPr>
        <w:t>mproving skills</w:t>
      </w:r>
      <w:r w:rsidR="007C18F2" w:rsidRPr="00100E9E">
        <w:rPr>
          <w:rFonts w:cs="Times New Roman"/>
          <w:color w:val="000000"/>
          <w:sz w:val="24"/>
          <w:szCs w:val="24"/>
        </w:rPr>
        <w:t xml:space="preserve"> - </w:t>
      </w:r>
      <w:r w:rsidR="00EB5500" w:rsidRPr="00100E9E">
        <w:rPr>
          <w:rFonts w:cs="Times New Roman"/>
          <w:color w:val="000000"/>
          <w:sz w:val="24"/>
          <w:szCs w:val="24"/>
        </w:rPr>
        <w:t>new pre-employment transition s</w:t>
      </w:r>
      <w:r w:rsidR="004E761A" w:rsidRPr="00100E9E">
        <w:rPr>
          <w:rFonts w:cs="Times New Roman"/>
          <w:color w:val="000000"/>
          <w:sz w:val="24"/>
          <w:szCs w:val="24"/>
        </w:rPr>
        <w:t>kill</w:t>
      </w:r>
      <w:r w:rsidR="00EB5500" w:rsidRPr="00100E9E">
        <w:rPr>
          <w:rFonts w:cs="Times New Roman"/>
          <w:color w:val="000000"/>
          <w:sz w:val="24"/>
          <w:szCs w:val="24"/>
        </w:rPr>
        <w:t>s</w:t>
      </w:r>
      <w:r w:rsidR="004E761A" w:rsidRPr="00100E9E">
        <w:rPr>
          <w:rFonts w:cs="Times New Roman"/>
          <w:color w:val="000000"/>
          <w:sz w:val="24"/>
          <w:szCs w:val="24"/>
        </w:rPr>
        <w:t xml:space="preserve"> </w:t>
      </w:r>
      <w:r w:rsidR="00EB5500" w:rsidRPr="00100E9E">
        <w:rPr>
          <w:rFonts w:cs="Times New Roman"/>
          <w:color w:val="000000"/>
          <w:sz w:val="24"/>
          <w:szCs w:val="24"/>
        </w:rPr>
        <w:t>training provided to students returning to high s</w:t>
      </w:r>
      <w:r w:rsidR="004E761A" w:rsidRPr="00100E9E">
        <w:rPr>
          <w:rFonts w:cs="Times New Roman"/>
          <w:color w:val="000000"/>
          <w:sz w:val="24"/>
          <w:szCs w:val="24"/>
        </w:rPr>
        <w:t xml:space="preserve">chool </w:t>
      </w:r>
      <w:r w:rsidR="00EB5500" w:rsidRPr="00100E9E">
        <w:rPr>
          <w:rFonts w:cs="Times New Roman"/>
          <w:color w:val="000000"/>
          <w:sz w:val="24"/>
          <w:szCs w:val="24"/>
        </w:rPr>
        <w:t xml:space="preserve">including </w:t>
      </w:r>
      <w:r w:rsidR="004E761A" w:rsidRPr="00100E9E">
        <w:rPr>
          <w:rFonts w:cs="Times New Roman"/>
          <w:color w:val="000000"/>
          <w:sz w:val="24"/>
          <w:szCs w:val="24"/>
        </w:rPr>
        <w:t xml:space="preserve">driver's education, attitude and behaviors, </w:t>
      </w:r>
      <w:r w:rsidR="00EB5500" w:rsidRPr="00100E9E">
        <w:rPr>
          <w:rFonts w:cs="Times New Roman"/>
          <w:color w:val="000000"/>
          <w:sz w:val="24"/>
          <w:szCs w:val="24"/>
        </w:rPr>
        <w:t xml:space="preserve">and </w:t>
      </w:r>
      <w:r w:rsidR="004E761A" w:rsidRPr="00100E9E">
        <w:rPr>
          <w:rFonts w:cs="Times New Roman"/>
          <w:color w:val="000000"/>
          <w:sz w:val="24"/>
          <w:szCs w:val="24"/>
        </w:rPr>
        <w:t xml:space="preserve">budgeting to help </w:t>
      </w:r>
      <w:r w:rsidRPr="00100E9E">
        <w:rPr>
          <w:rFonts w:cs="Times New Roman"/>
          <w:color w:val="000000"/>
          <w:sz w:val="24"/>
          <w:szCs w:val="24"/>
        </w:rPr>
        <w:t xml:space="preserve">increase success in community employment; </w:t>
      </w:r>
      <w:r w:rsidR="007C18F2" w:rsidRPr="00100E9E">
        <w:rPr>
          <w:rFonts w:cs="Times New Roman"/>
          <w:sz w:val="24"/>
          <w:szCs w:val="24"/>
        </w:rPr>
        <w:t xml:space="preserve">e) </w:t>
      </w:r>
      <w:r w:rsidR="007C18F2" w:rsidRPr="00100E9E">
        <w:rPr>
          <w:rFonts w:cs="Times New Roman"/>
          <w:i/>
          <w:sz w:val="24"/>
          <w:szCs w:val="24"/>
        </w:rPr>
        <w:t>changing consequences</w:t>
      </w:r>
      <w:r w:rsidR="007C18F2" w:rsidRPr="00100E9E">
        <w:rPr>
          <w:rFonts w:cs="Times New Roman"/>
          <w:sz w:val="24"/>
          <w:szCs w:val="24"/>
        </w:rPr>
        <w:t xml:space="preserve"> - </w:t>
      </w:r>
      <w:r w:rsidR="00EB5500" w:rsidRPr="00100E9E">
        <w:rPr>
          <w:rFonts w:eastAsia="Times New Roman" w:cs="Times New Roman"/>
          <w:color w:val="000000"/>
          <w:sz w:val="24"/>
          <w:szCs w:val="24"/>
        </w:rPr>
        <w:t>p</w:t>
      </w:r>
      <w:r w:rsidR="007C18F2" w:rsidRPr="00100E9E">
        <w:rPr>
          <w:rFonts w:eastAsia="Times New Roman" w:cs="Times New Roman"/>
          <w:color w:val="000000"/>
          <w:sz w:val="24"/>
          <w:szCs w:val="24"/>
        </w:rPr>
        <w:t xml:space="preserve">rovide </w:t>
      </w:r>
      <w:r w:rsidRPr="00100E9E">
        <w:rPr>
          <w:rFonts w:eastAsia="Times New Roman" w:cs="Times New Roman"/>
          <w:color w:val="000000"/>
          <w:sz w:val="24"/>
          <w:szCs w:val="24"/>
        </w:rPr>
        <w:t xml:space="preserve">vouchers for </w:t>
      </w:r>
      <w:r w:rsidR="007C18F2" w:rsidRPr="00100E9E">
        <w:rPr>
          <w:rFonts w:eastAsia="Times New Roman" w:cs="Times New Roman"/>
          <w:color w:val="000000"/>
          <w:sz w:val="24"/>
          <w:szCs w:val="24"/>
        </w:rPr>
        <w:t>apartment complexes to help residents with disabilities</w:t>
      </w:r>
      <w:r w:rsidR="00EB5500" w:rsidRPr="00100E9E">
        <w:rPr>
          <w:rFonts w:eastAsia="Times New Roman" w:cs="Times New Roman"/>
          <w:color w:val="000000"/>
          <w:sz w:val="24"/>
          <w:szCs w:val="24"/>
        </w:rPr>
        <w:t xml:space="preserve"> afford housing;</w:t>
      </w:r>
      <w:r w:rsidR="007C18F2" w:rsidRPr="00100E9E">
        <w:rPr>
          <w:rFonts w:eastAsia="Times New Roman" w:cs="Times New Roman"/>
          <w:color w:val="000000"/>
          <w:sz w:val="24"/>
          <w:szCs w:val="24"/>
        </w:rPr>
        <w:t xml:space="preserve"> </w:t>
      </w:r>
      <w:r w:rsidR="003E3527" w:rsidRPr="00100E9E">
        <w:rPr>
          <w:rFonts w:cs="Times New Roman"/>
          <w:color w:val="000000"/>
          <w:sz w:val="24"/>
          <w:szCs w:val="24"/>
        </w:rPr>
        <w:t xml:space="preserve">d) </w:t>
      </w:r>
      <w:r w:rsidR="003E3527" w:rsidRPr="00100E9E">
        <w:rPr>
          <w:rFonts w:cs="Times New Roman"/>
          <w:i/>
          <w:color w:val="000000"/>
          <w:sz w:val="24"/>
          <w:szCs w:val="24"/>
        </w:rPr>
        <w:t xml:space="preserve">modifying access, barriers, and opportunities </w:t>
      </w:r>
      <w:r w:rsidR="003E3527" w:rsidRPr="00100E9E">
        <w:rPr>
          <w:rFonts w:cs="Times New Roman"/>
          <w:color w:val="000000"/>
          <w:sz w:val="24"/>
          <w:szCs w:val="24"/>
        </w:rPr>
        <w:t xml:space="preserve">- Day of </w:t>
      </w:r>
      <w:r w:rsidR="00EB5500" w:rsidRPr="00100E9E">
        <w:rPr>
          <w:rFonts w:cs="Times New Roman"/>
          <w:color w:val="000000"/>
          <w:sz w:val="24"/>
          <w:szCs w:val="24"/>
        </w:rPr>
        <w:t xml:space="preserve">Caring Ramps Project event </w:t>
      </w:r>
      <w:r w:rsidRPr="00100E9E">
        <w:rPr>
          <w:rFonts w:cs="Times New Roman"/>
          <w:color w:val="000000"/>
          <w:sz w:val="24"/>
          <w:szCs w:val="24"/>
        </w:rPr>
        <w:t xml:space="preserve">involving citizens building </w:t>
      </w:r>
      <w:r w:rsidR="003E3527" w:rsidRPr="00100E9E">
        <w:rPr>
          <w:rFonts w:cs="Times New Roman"/>
          <w:color w:val="000000"/>
          <w:sz w:val="24"/>
          <w:szCs w:val="24"/>
        </w:rPr>
        <w:t>ramp</w:t>
      </w:r>
      <w:r w:rsidR="00EB5500" w:rsidRPr="00100E9E">
        <w:rPr>
          <w:rFonts w:cs="Times New Roman"/>
          <w:color w:val="000000"/>
          <w:sz w:val="24"/>
          <w:szCs w:val="24"/>
        </w:rPr>
        <w:t>s for veterans</w:t>
      </w:r>
      <w:r w:rsidRPr="00100E9E">
        <w:rPr>
          <w:rFonts w:cs="Times New Roman"/>
          <w:color w:val="000000"/>
          <w:sz w:val="24"/>
          <w:szCs w:val="24"/>
        </w:rPr>
        <w:t xml:space="preserve"> with disabilities</w:t>
      </w:r>
      <w:r w:rsidR="007C18F2" w:rsidRPr="00100E9E">
        <w:rPr>
          <w:rFonts w:cs="Times New Roman"/>
          <w:color w:val="000000"/>
          <w:sz w:val="24"/>
          <w:szCs w:val="24"/>
        </w:rPr>
        <w:t>;</w:t>
      </w:r>
      <w:r w:rsidR="00EB5500" w:rsidRPr="00100E9E">
        <w:rPr>
          <w:rFonts w:cs="Times New Roman"/>
          <w:color w:val="000000"/>
          <w:sz w:val="24"/>
          <w:szCs w:val="24"/>
        </w:rPr>
        <w:t xml:space="preserve"> and</w:t>
      </w:r>
      <w:r w:rsidR="007C18F2" w:rsidRPr="00100E9E">
        <w:rPr>
          <w:rFonts w:cs="Times New Roman"/>
          <w:color w:val="000000"/>
          <w:sz w:val="24"/>
          <w:szCs w:val="24"/>
        </w:rPr>
        <w:t xml:space="preserve"> </w:t>
      </w:r>
      <w:r w:rsidR="007C18F2" w:rsidRPr="00100E9E">
        <w:rPr>
          <w:rFonts w:eastAsia="Times New Roman" w:cs="Times New Roman"/>
          <w:color w:val="000000"/>
          <w:sz w:val="24"/>
          <w:szCs w:val="24"/>
        </w:rPr>
        <w:t>f</w:t>
      </w:r>
      <w:r w:rsidR="0054607D" w:rsidRPr="00100E9E">
        <w:rPr>
          <w:rFonts w:eastAsia="Times New Roman" w:cs="Times New Roman"/>
          <w:color w:val="000000"/>
          <w:sz w:val="24"/>
          <w:szCs w:val="24"/>
        </w:rPr>
        <w:t xml:space="preserve">) </w:t>
      </w:r>
      <w:r w:rsidR="00EB5500" w:rsidRPr="00100E9E">
        <w:rPr>
          <w:rFonts w:eastAsia="Times New Roman" w:cs="Times New Roman"/>
          <w:i/>
          <w:color w:val="000000"/>
          <w:sz w:val="24"/>
          <w:szCs w:val="24"/>
        </w:rPr>
        <w:t xml:space="preserve">creating </w:t>
      </w:r>
      <w:r w:rsidR="0054607D" w:rsidRPr="00100E9E">
        <w:rPr>
          <w:rFonts w:eastAsia="Times New Roman" w:cs="Times New Roman"/>
          <w:i/>
          <w:color w:val="000000"/>
          <w:sz w:val="24"/>
          <w:szCs w:val="24"/>
        </w:rPr>
        <w:t>policy</w:t>
      </w:r>
      <w:r w:rsidR="0054607D" w:rsidRPr="00100E9E">
        <w:rPr>
          <w:rFonts w:eastAsia="Times New Roman" w:cs="Times New Roman"/>
          <w:color w:val="000000"/>
          <w:sz w:val="24"/>
          <w:szCs w:val="24"/>
        </w:rPr>
        <w:t xml:space="preserve"> - legislation </w:t>
      </w:r>
      <w:r w:rsidR="00EB5500" w:rsidRPr="00100E9E">
        <w:rPr>
          <w:rFonts w:eastAsia="Times New Roman" w:cs="Times New Roman"/>
          <w:color w:val="000000"/>
          <w:sz w:val="24"/>
          <w:szCs w:val="24"/>
        </w:rPr>
        <w:t xml:space="preserve">passed that </w:t>
      </w:r>
      <w:r w:rsidR="0054607D" w:rsidRPr="00100E9E">
        <w:rPr>
          <w:rFonts w:eastAsia="Times New Roman" w:cs="Times New Roman"/>
          <w:color w:val="000000"/>
          <w:sz w:val="24"/>
          <w:szCs w:val="24"/>
        </w:rPr>
        <w:t>transfer</w:t>
      </w:r>
      <w:r w:rsidR="00EB5500" w:rsidRPr="00100E9E">
        <w:rPr>
          <w:rFonts w:eastAsia="Times New Roman" w:cs="Times New Roman"/>
          <w:color w:val="000000"/>
          <w:sz w:val="24"/>
          <w:szCs w:val="24"/>
        </w:rPr>
        <w:t>red</w:t>
      </w:r>
      <w:r w:rsidR="0054607D" w:rsidRPr="00100E9E">
        <w:rPr>
          <w:rFonts w:eastAsia="Times New Roman" w:cs="Times New Roman"/>
          <w:color w:val="000000"/>
          <w:sz w:val="24"/>
          <w:szCs w:val="24"/>
        </w:rPr>
        <w:t xml:space="preserve"> the stat</w:t>
      </w:r>
      <w:r w:rsidR="00EB5500" w:rsidRPr="00100E9E">
        <w:rPr>
          <w:rFonts w:eastAsia="Times New Roman" w:cs="Times New Roman"/>
          <w:color w:val="000000"/>
          <w:sz w:val="24"/>
          <w:szCs w:val="24"/>
        </w:rPr>
        <w:t>e's IL Services program to state</w:t>
      </w:r>
      <w:r w:rsidR="0054607D" w:rsidRPr="00100E9E">
        <w:rPr>
          <w:rFonts w:eastAsia="Times New Roman" w:cs="Times New Roman"/>
          <w:color w:val="000000"/>
          <w:sz w:val="24"/>
          <w:szCs w:val="24"/>
        </w:rPr>
        <w:t xml:space="preserve"> CILs.</w:t>
      </w:r>
    </w:p>
    <w:p w:rsidR="00DC6899" w:rsidRPr="00100E9E" w:rsidRDefault="00696FDE" w:rsidP="009710C5">
      <w:pPr>
        <w:spacing w:line="276" w:lineRule="auto"/>
        <w:rPr>
          <w:rFonts w:eastAsia="Times New Roman" w:cs="Times New Roman"/>
          <w:color w:val="000000"/>
          <w:sz w:val="24"/>
          <w:szCs w:val="24"/>
        </w:rPr>
      </w:pPr>
      <w:r>
        <w:rPr>
          <w:rFonts w:eastAsia="Times New Roman" w:cs="Times New Roman"/>
          <w:color w:val="000000"/>
          <w:sz w:val="24"/>
          <w:szCs w:val="24"/>
        </w:rPr>
        <w:t>Achieving f</w:t>
      </w:r>
      <w:r w:rsidR="00831B0E" w:rsidRPr="00100E9E">
        <w:rPr>
          <w:rFonts w:eastAsia="Times New Roman" w:cs="Times New Roman"/>
          <w:color w:val="000000"/>
          <w:sz w:val="24"/>
          <w:szCs w:val="24"/>
        </w:rPr>
        <w:t xml:space="preserve">ull community participation </w:t>
      </w:r>
      <w:r w:rsidR="00E74653" w:rsidRPr="00100E9E">
        <w:rPr>
          <w:rFonts w:eastAsia="Times New Roman" w:cs="Times New Roman"/>
          <w:color w:val="000000"/>
          <w:sz w:val="24"/>
          <w:szCs w:val="24"/>
        </w:rPr>
        <w:t xml:space="preserve">for people with disabilities </w:t>
      </w:r>
      <w:r>
        <w:rPr>
          <w:rFonts w:eastAsia="Times New Roman" w:cs="Times New Roman"/>
          <w:color w:val="000000"/>
          <w:sz w:val="24"/>
          <w:szCs w:val="24"/>
        </w:rPr>
        <w:t>requires</w:t>
      </w:r>
      <w:r w:rsidRPr="00100E9E">
        <w:rPr>
          <w:rFonts w:eastAsia="Times New Roman" w:cs="Times New Roman"/>
          <w:color w:val="000000"/>
          <w:sz w:val="24"/>
          <w:szCs w:val="24"/>
        </w:rPr>
        <w:t xml:space="preserve"> </w:t>
      </w:r>
      <w:r w:rsidR="00E74653" w:rsidRPr="00100E9E">
        <w:rPr>
          <w:rFonts w:eastAsia="Times New Roman" w:cs="Times New Roman"/>
          <w:color w:val="000000"/>
          <w:sz w:val="24"/>
          <w:szCs w:val="24"/>
        </w:rPr>
        <w:t xml:space="preserve">that </w:t>
      </w:r>
      <w:r>
        <w:rPr>
          <w:rFonts w:eastAsia="Times New Roman" w:cs="Times New Roman"/>
          <w:color w:val="000000"/>
          <w:sz w:val="24"/>
          <w:szCs w:val="24"/>
        </w:rPr>
        <w:t>communities and systems</w:t>
      </w:r>
      <w:r w:rsidR="00DC6899" w:rsidRPr="00100E9E">
        <w:rPr>
          <w:rFonts w:eastAsia="Times New Roman" w:cs="Times New Roman"/>
          <w:color w:val="000000"/>
          <w:sz w:val="24"/>
          <w:szCs w:val="24"/>
        </w:rPr>
        <w:t xml:space="preserve"> </w:t>
      </w:r>
      <w:r>
        <w:rPr>
          <w:rFonts w:eastAsia="Times New Roman" w:cs="Times New Roman"/>
          <w:color w:val="000000"/>
          <w:sz w:val="24"/>
          <w:szCs w:val="24"/>
        </w:rPr>
        <w:t>reduce barriers to inclusion</w:t>
      </w:r>
      <w:r w:rsidR="00E74653" w:rsidRPr="00100E9E">
        <w:rPr>
          <w:rFonts w:eastAsia="Times New Roman" w:cs="Times New Roman"/>
          <w:color w:val="000000"/>
          <w:sz w:val="24"/>
          <w:szCs w:val="24"/>
        </w:rPr>
        <w:t xml:space="preserve">. </w:t>
      </w:r>
      <w:r>
        <w:rPr>
          <w:rFonts w:eastAsia="Times New Roman" w:cs="Times New Roman"/>
          <w:color w:val="000000"/>
          <w:sz w:val="24"/>
          <w:szCs w:val="24"/>
        </w:rPr>
        <w:t xml:space="preserve">Participating </w:t>
      </w:r>
      <w:r w:rsidR="00E74653" w:rsidRPr="00100E9E">
        <w:rPr>
          <w:rFonts w:eastAsia="Times New Roman" w:cs="Times New Roman"/>
          <w:color w:val="000000"/>
          <w:sz w:val="24"/>
          <w:szCs w:val="24"/>
        </w:rPr>
        <w:t>CILs implement</w:t>
      </w:r>
      <w:r>
        <w:rPr>
          <w:rFonts w:eastAsia="Times New Roman" w:cs="Times New Roman"/>
          <w:color w:val="000000"/>
          <w:sz w:val="24"/>
          <w:szCs w:val="24"/>
        </w:rPr>
        <w:t>ed</w:t>
      </w:r>
      <w:r w:rsidR="00E74653" w:rsidRPr="00100E9E">
        <w:rPr>
          <w:rFonts w:eastAsia="Times New Roman" w:cs="Times New Roman"/>
          <w:color w:val="000000"/>
          <w:sz w:val="24"/>
          <w:szCs w:val="24"/>
        </w:rPr>
        <w:t xml:space="preserve"> community changes across a wide range of full participation goals</w:t>
      </w:r>
      <w:r w:rsidR="003D4DFF" w:rsidRPr="00100E9E">
        <w:rPr>
          <w:rFonts w:eastAsia="Times New Roman" w:cs="Times New Roman"/>
          <w:color w:val="000000"/>
          <w:sz w:val="24"/>
          <w:szCs w:val="24"/>
        </w:rPr>
        <w:t xml:space="preserve"> and </w:t>
      </w:r>
      <w:r w:rsidR="00E74653" w:rsidRPr="00100E9E">
        <w:rPr>
          <w:rFonts w:eastAsia="Times New Roman" w:cs="Times New Roman"/>
          <w:color w:val="000000"/>
          <w:sz w:val="24"/>
          <w:szCs w:val="24"/>
        </w:rPr>
        <w:t>targeted goals based on the</w:t>
      </w:r>
      <w:r w:rsidR="003D4DFF" w:rsidRPr="00100E9E">
        <w:rPr>
          <w:rFonts w:eastAsia="Times New Roman" w:cs="Times New Roman"/>
          <w:color w:val="000000"/>
          <w:sz w:val="24"/>
          <w:szCs w:val="24"/>
        </w:rPr>
        <w:t xml:space="preserve"> </w:t>
      </w:r>
      <w:r w:rsidR="00E74653" w:rsidRPr="00100E9E">
        <w:rPr>
          <w:rFonts w:eastAsia="Times New Roman" w:cs="Times New Roman"/>
          <w:color w:val="000000"/>
          <w:sz w:val="24"/>
          <w:szCs w:val="24"/>
        </w:rPr>
        <w:t xml:space="preserve">needs and interests of constituents. This is where the science and art of community action takes place. </w:t>
      </w:r>
    </w:p>
    <w:p w:rsidR="00831B0E" w:rsidRPr="00100E9E" w:rsidRDefault="00AB2E9E" w:rsidP="009710C5">
      <w:pPr>
        <w:spacing w:line="276" w:lineRule="auto"/>
        <w:rPr>
          <w:rFonts w:eastAsia="Times New Roman" w:cs="Times New Roman"/>
          <w:color w:val="000000"/>
          <w:sz w:val="24"/>
          <w:szCs w:val="24"/>
        </w:rPr>
      </w:pPr>
      <w:r w:rsidRPr="00100E9E">
        <w:rPr>
          <w:rFonts w:eastAsia="Times New Roman" w:cs="Times New Roman"/>
          <w:color w:val="000000"/>
          <w:sz w:val="24"/>
          <w:szCs w:val="24"/>
        </w:rPr>
        <w:t xml:space="preserve">Community </w:t>
      </w:r>
      <w:r w:rsidR="00DC6899" w:rsidRPr="00100E9E">
        <w:rPr>
          <w:rFonts w:eastAsia="Times New Roman" w:cs="Times New Roman"/>
          <w:color w:val="000000"/>
          <w:sz w:val="24"/>
          <w:szCs w:val="24"/>
        </w:rPr>
        <w:t>Change Graph</w:t>
      </w:r>
    </w:p>
    <w:p w:rsidR="009710C5" w:rsidRPr="00100E9E" w:rsidRDefault="00FA2B33" w:rsidP="00ED18CA">
      <w:pPr>
        <w:rPr>
          <w:rFonts w:eastAsia="Times New Roman" w:cs="Times New Roman"/>
          <w:color w:val="000000"/>
        </w:rPr>
      </w:pPr>
      <w:r>
        <w:rPr>
          <w:rFonts w:ascii="Times New Roman" w:hAnsi="Times New Roman" w:cs="Times New Roman"/>
          <w:noProof/>
        </w:rPr>
        <w:lastRenderedPageBreak/>
        <w:drawing>
          <wp:inline distT="0" distB="0" distL="0" distR="0" wp14:anchorId="4FDE67C6" wp14:editId="224003CD">
            <wp:extent cx="5943600" cy="4810281"/>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0EE8" w:rsidRPr="00100E9E" w:rsidRDefault="005F6B33" w:rsidP="00831B0E">
      <w:pPr>
        <w:rPr>
          <w:rFonts w:cs="Times New Roman"/>
          <w:sz w:val="24"/>
          <w:szCs w:val="24"/>
        </w:rPr>
      </w:pPr>
      <w:bookmarkStart w:id="1" w:name="starthere1"/>
      <w:bookmarkEnd w:id="1"/>
      <w:r w:rsidRPr="00100E9E">
        <w:rPr>
          <w:rFonts w:cs="Times New Roman"/>
          <w:sz w:val="24"/>
          <w:szCs w:val="24"/>
        </w:rPr>
        <w:t>Of t</w:t>
      </w:r>
      <w:r w:rsidR="00B933B6" w:rsidRPr="00100E9E">
        <w:rPr>
          <w:rFonts w:cs="Times New Roman"/>
          <w:sz w:val="24"/>
          <w:szCs w:val="24"/>
        </w:rPr>
        <w:t xml:space="preserve">he </w:t>
      </w:r>
      <w:r w:rsidR="004600D0">
        <w:rPr>
          <w:rFonts w:cs="Times New Roman"/>
          <w:sz w:val="24"/>
          <w:szCs w:val="24"/>
        </w:rPr>
        <w:t>197</w:t>
      </w:r>
      <w:r w:rsidR="004600D0" w:rsidRPr="00100E9E">
        <w:rPr>
          <w:rFonts w:cs="Times New Roman"/>
          <w:sz w:val="24"/>
          <w:szCs w:val="24"/>
        </w:rPr>
        <w:t xml:space="preserve"> </w:t>
      </w:r>
      <w:r w:rsidR="003F2135" w:rsidRPr="00100E9E">
        <w:rPr>
          <w:rFonts w:cs="Times New Roman"/>
          <w:sz w:val="24"/>
          <w:szCs w:val="24"/>
        </w:rPr>
        <w:t xml:space="preserve">community </w:t>
      </w:r>
      <w:r w:rsidR="00B933B6" w:rsidRPr="00100E9E">
        <w:rPr>
          <w:rFonts w:cs="Times New Roman"/>
          <w:sz w:val="24"/>
          <w:szCs w:val="24"/>
        </w:rPr>
        <w:t>c</w:t>
      </w:r>
      <w:r w:rsidR="00E74653" w:rsidRPr="00100E9E">
        <w:rPr>
          <w:rFonts w:cs="Times New Roman"/>
          <w:sz w:val="24"/>
          <w:szCs w:val="24"/>
        </w:rPr>
        <w:t xml:space="preserve">hanges </w:t>
      </w:r>
      <w:r w:rsidR="00B933B6" w:rsidRPr="00100E9E">
        <w:rPr>
          <w:rFonts w:cs="Times New Roman"/>
          <w:sz w:val="24"/>
          <w:szCs w:val="24"/>
        </w:rPr>
        <w:t>implemented</w:t>
      </w:r>
      <w:r w:rsidR="00D9280E">
        <w:rPr>
          <w:rFonts w:cs="Times New Roman"/>
          <w:sz w:val="24"/>
          <w:szCs w:val="24"/>
        </w:rPr>
        <w:t>, 21 of the 23</w:t>
      </w:r>
      <w:r w:rsidR="00DC6899" w:rsidRPr="00100E9E">
        <w:rPr>
          <w:rFonts w:cs="Times New Roman"/>
          <w:sz w:val="24"/>
          <w:szCs w:val="24"/>
        </w:rPr>
        <w:t xml:space="preserve"> full participation goals (e.g., access to education, access to services, advocacy, civic engagement, employment, housing, pain management, peer support, transportation) were</w:t>
      </w:r>
      <w:r w:rsidRPr="00100E9E">
        <w:rPr>
          <w:rFonts w:cs="Times New Roman"/>
          <w:sz w:val="24"/>
          <w:szCs w:val="24"/>
        </w:rPr>
        <w:t xml:space="preserve"> targeted</w:t>
      </w:r>
      <w:r w:rsidR="00DC6899" w:rsidRPr="00100E9E">
        <w:rPr>
          <w:rFonts w:cs="Times New Roman"/>
          <w:sz w:val="24"/>
          <w:szCs w:val="24"/>
        </w:rPr>
        <w:t xml:space="preserve">. </w:t>
      </w:r>
      <w:r w:rsidR="00D9280E">
        <w:rPr>
          <w:rFonts w:cs="Times New Roman"/>
          <w:sz w:val="24"/>
          <w:szCs w:val="24"/>
        </w:rPr>
        <w:t>G</w:t>
      </w:r>
      <w:r w:rsidR="00E74653" w:rsidRPr="00100E9E">
        <w:rPr>
          <w:rFonts w:cs="Times New Roman"/>
          <w:sz w:val="24"/>
          <w:szCs w:val="24"/>
        </w:rPr>
        <w:t>oal</w:t>
      </w:r>
      <w:r w:rsidR="00B933B6" w:rsidRPr="00100E9E">
        <w:rPr>
          <w:rFonts w:cs="Times New Roman"/>
          <w:sz w:val="24"/>
          <w:szCs w:val="24"/>
        </w:rPr>
        <w:t xml:space="preserve">s </w:t>
      </w:r>
      <w:r w:rsidR="00D9280E">
        <w:rPr>
          <w:rFonts w:cs="Times New Roman"/>
          <w:sz w:val="24"/>
          <w:szCs w:val="24"/>
        </w:rPr>
        <w:t>addressed by accomplishments included</w:t>
      </w:r>
      <w:r w:rsidR="00E74653" w:rsidRPr="00100E9E">
        <w:rPr>
          <w:rFonts w:cs="Times New Roman"/>
          <w:sz w:val="24"/>
          <w:szCs w:val="24"/>
        </w:rPr>
        <w:t xml:space="preserve"> access to services</w:t>
      </w:r>
      <w:r w:rsidR="00B933B6" w:rsidRPr="00100E9E">
        <w:rPr>
          <w:rFonts w:cs="Times New Roman"/>
          <w:sz w:val="24"/>
          <w:szCs w:val="24"/>
        </w:rPr>
        <w:t xml:space="preserve"> (16%), advocacy (10%), independent living skills (10%), accessibility to public places (6%) and peer support (6%). No </w:t>
      </w:r>
      <w:r w:rsidR="00D9280E">
        <w:rPr>
          <w:rFonts w:cs="Times New Roman"/>
          <w:sz w:val="24"/>
          <w:szCs w:val="24"/>
        </w:rPr>
        <w:t>accomplishments were</w:t>
      </w:r>
      <w:r w:rsidR="00B933B6" w:rsidRPr="00100E9E">
        <w:rPr>
          <w:rFonts w:cs="Times New Roman"/>
          <w:sz w:val="24"/>
          <w:szCs w:val="24"/>
        </w:rPr>
        <w:t xml:space="preserve"> </w:t>
      </w:r>
      <w:r w:rsidR="002204EA" w:rsidRPr="00100E9E">
        <w:rPr>
          <w:rFonts w:cs="Times New Roman"/>
          <w:sz w:val="24"/>
          <w:szCs w:val="24"/>
        </w:rPr>
        <w:t>reported</w:t>
      </w:r>
      <w:r w:rsidR="00D9280E">
        <w:rPr>
          <w:rFonts w:cs="Times New Roman"/>
          <w:sz w:val="24"/>
          <w:szCs w:val="24"/>
        </w:rPr>
        <w:t xml:space="preserve"> as </w:t>
      </w:r>
      <w:r w:rsidR="00C432EF">
        <w:rPr>
          <w:rFonts w:cs="Times New Roman"/>
          <w:sz w:val="24"/>
          <w:szCs w:val="24"/>
        </w:rPr>
        <w:t xml:space="preserve">primarily </w:t>
      </w:r>
      <w:r w:rsidR="00C432EF" w:rsidRPr="00100E9E">
        <w:rPr>
          <w:rFonts w:cs="Times New Roman"/>
          <w:sz w:val="24"/>
          <w:szCs w:val="24"/>
        </w:rPr>
        <w:t>targeting</w:t>
      </w:r>
      <w:r w:rsidR="00B933B6" w:rsidRPr="00100E9E">
        <w:rPr>
          <w:rFonts w:cs="Times New Roman"/>
          <w:sz w:val="24"/>
          <w:szCs w:val="24"/>
        </w:rPr>
        <w:t xml:space="preserve"> mental he</w:t>
      </w:r>
      <w:r w:rsidR="006B7FFC" w:rsidRPr="00100E9E">
        <w:rPr>
          <w:rFonts w:cs="Times New Roman"/>
          <w:sz w:val="24"/>
          <w:szCs w:val="24"/>
        </w:rPr>
        <w:t>alth and pain management goals. T</w:t>
      </w:r>
      <w:r w:rsidR="008F3875" w:rsidRPr="00100E9E">
        <w:rPr>
          <w:rFonts w:cs="Times New Roman"/>
          <w:sz w:val="24"/>
          <w:szCs w:val="24"/>
        </w:rPr>
        <w:t>he remaining</w:t>
      </w:r>
      <w:r w:rsidR="00B933B6" w:rsidRPr="00100E9E">
        <w:rPr>
          <w:rFonts w:cs="Times New Roman"/>
          <w:sz w:val="24"/>
          <w:szCs w:val="24"/>
        </w:rPr>
        <w:t xml:space="preserve"> goals </w:t>
      </w:r>
      <w:r w:rsidR="006B7FFC" w:rsidRPr="00100E9E">
        <w:rPr>
          <w:rFonts w:cs="Times New Roman"/>
          <w:sz w:val="24"/>
          <w:szCs w:val="24"/>
        </w:rPr>
        <w:t>received 1% to 5% of the changes brought about by the CILs.</w:t>
      </w:r>
      <w:r w:rsidR="008F3875" w:rsidRPr="00100E9E">
        <w:rPr>
          <w:rFonts w:cs="Times New Roman"/>
          <w:sz w:val="24"/>
          <w:szCs w:val="24"/>
        </w:rPr>
        <w:t xml:space="preserve"> Most of the highly targeted goals are </w:t>
      </w:r>
      <w:r w:rsidR="002204EA" w:rsidRPr="00100E9E">
        <w:rPr>
          <w:rFonts w:cs="Times New Roman"/>
          <w:sz w:val="24"/>
          <w:szCs w:val="24"/>
        </w:rPr>
        <w:t xml:space="preserve">in line with the </w:t>
      </w:r>
      <w:r w:rsidR="008F3875" w:rsidRPr="00100E9E">
        <w:rPr>
          <w:rFonts w:cs="Times New Roman"/>
          <w:sz w:val="24"/>
          <w:szCs w:val="24"/>
        </w:rPr>
        <w:t xml:space="preserve">mandated CIL services. </w:t>
      </w:r>
    </w:p>
    <w:p w:rsidR="008F3875" w:rsidRPr="00100E9E" w:rsidRDefault="008F3875" w:rsidP="007F12E7">
      <w:pPr>
        <w:spacing w:after="120"/>
        <w:rPr>
          <w:rFonts w:cs="Times New Roman"/>
          <w:sz w:val="24"/>
          <w:szCs w:val="24"/>
        </w:rPr>
      </w:pPr>
      <w:r w:rsidRPr="00100E9E">
        <w:rPr>
          <w:rFonts w:cs="Times New Roman"/>
          <w:sz w:val="24"/>
          <w:szCs w:val="24"/>
        </w:rPr>
        <w:t xml:space="preserve">Did CILs improve their capacity to bring about community and systems changes with training and technical assistance? </w:t>
      </w:r>
      <w:r w:rsidR="00C432EF">
        <w:rPr>
          <w:rFonts w:cs="Times New Roman"/>
          <w:sz w:val="24"/>
          <w:szCs w:val="24"/>
        </w:rPr>
        <w:t>While some</w:t>
      </w:r>
      <w:r w:rsidR="00B20B82" w:rsidRPr="00100E9E">
        <w:rPr>
          <w:rFonts w:cs="Times New Roman"/>
          <w:sz w:val="24"/>
          <w:szCs w:val="24"/>
        </w:rPr>
        <w:t xml:space="preserve"> of the CILs </w:t>
      </w:r>
      <w:r w:rsidR="002204EA" w:rsidRPr="00100E9E">
        <w:rPr>
          <w:rFonts w:cs="Times New Roman"/>
          <w:sz w:val="24"/>
          <w:szCs w:val="24"/>
        </w:rPr>
        <w:t>had increased rates of</w:t>
      </w:r>
      <w:r w:rsidR="00B20B82" w:rsidRPr="00100E9E">
        <w:rPr>
          <w:rFonts w:cs="Times New Roman"/>
          <w:sz w:val="24"/>
          <w:szCs w:val="24"/>
        </w:rPr>
        <w:t xml:space="preserve"> community change </w:t>
      </w:r>
      <w:r w:rsidR="002204EA" w:rsidRPr="00100E9E">
        <w:rPr>
          <w:rFonts w:cs="Times New Roman"/>
          <w:sz w:val="24"/>
          <w:szCs w:val="24"/>
        </w:rPr>
        <w:t>following</w:t>
      </w:r>
      <w:r w:rsidR="00B20B82" w:rsidRPr="00100E9E">
        <w:rPr>
          <w:rFonts w:cs="Times New Roman"/>
          <w:sz w:val="24"/>
          <w:szCs w:val="24"/>
        </w:rPr>
        <w:t xml:space="preserve"> training, there was improvement in the quality of community changes</w:t>
      </w:r>
      <w:r w:rsidR="002204EA" w:rsidRPr="00100E9E">
        <w:rPr>
          <w:rFonts w:cs="Times New Roman"/>
          <w:sz w:val="24"/>
          <w:szCs w:val="24"/>
        </w:rPr>
        <w:t xml:space="preserve"> implemented</w:t>
      </w:r>
      <w:r w:rsidR="00B20B82" w:rsidRPr="00100E9E">
        <w:rPr>
          <w:rFonts w:cs="Times New Roman"/>
          <w:sz w:val="24"/>
          <w:szCs w:val="24"/>
        </w:rPr>
        <w:t xml:space="preserve">. </w:t>
      </w:r>
      <w:r w:rsidR="00AB1FAB" w:rsidRPr="00100E9E">
        <w:rPr>
          <w:rFonts w:cs="Times New Roman"/>
          <w:sz w:val="24"/>
          <w:szCs w:val="24"/>
        </w:rPr>
        <w:t>The quality measure is an intensity score that was developed for each community change. Each community change was weighted by the length of time people might be exposed to</w:t>
      </w:r>
      <w:r w:rsidR="00B20B82" w:rsidRPr="00100E9E">
        <w:rPr>
          <w:rFonts w:cs="Times New Roman"/>
          <w:sz w:val="24"/>
          <w:szCs w:val="24"/>
        </w:rPr>
        <w:t xml:space="preserve"> the program or policy (i.e., duration)</w:t>
      </w:r>
      <w:r w:rsidR="00AB1FAB" w:rsidRPr="00100E9E">
        <w:rPr>
          <w:rFonts w:cs="Times New Roman"/>
          <w:sz w:val="24"/>
          <w:szCs w:val="24"/>
        </w:rPr>
        <w:t>, the strength of the strategy used by the community change</w:t>
      </w:r>
      <w:r w:rsidR="005D537C" w:rsidRPr="00100E9E">
        <w:rPr>
          <w:rFonts w:cs="Times New Roman"/>
          <w:sz w:val="24"/>
          <w:szCs w:val="24"/>
        </w:rPr>
        <w:t xml:space="preserve"> to change behaviors in the community</w:t>
      </w:r>
      <w:r w:rsidR="00B20B82" w:rsidRPr="00100E9E">
        <w:rPr>
          <w:rFonts w:cs="Times New Roman"/>
          <w:sz w:val="24"/>
          <w:szCs w:val="24"/>
        </w:rPr>
        <w:t xml:space="preserve"> (e.g., was it only information provide</w:t>
      </w:r>
      <w:r w:rsidR="002204EA" w:rsidRPr="00100E9E">
        <w:rPr>
          <w:rFonts w:cs="Times New Roman"/>
          <w:sz w:val="24"/>
          <w:szCs w:val="24"/>
        </w:rPr>
        <w:t>d,</w:t>
      </w:r>
      <w:r w:rsidR="00B20B82" w:rsidRPr="00100E9E">
        <w:rPr>
          <w:rFonts w:cs="Times New Roman"/>
          <w:sz w:val="24"/>
          <w:szCs w:val="24"/>
        </w:rPr>
        <w:t xml:space="preserve"> or was it a stronger policy change</w:t>
      </w:r>
      <w:r w:rsidR="002204EA" w:rsidRPr="00100E9E">
        <w:rPr>
          <w:rFonts w:cs="Times New Roman"/>
          <w:sz w:val="24"/>
          <w:szCs w:val="24"/>
        </w:rPr>
        <w:t>?</w:t>
      </w:r>
      <w:r w:rsidR="00B20B82" w:rsidRPr="00100E9E">
        <w:rPr>
          <w:rFonts w:cs="Times New Roman"/>
          <w:sz w:val="24"/>
          <w:szCs w:val="24"/>
        </w:rPr>
        <w:t>)</w:t>
      </w:r>
      <w:r w:rsidR="00AB1FAB" w:rsidRPr="00100E9E">
        <w:rPr>
          <w:rFonts w:cs="Times New Roman"/>
          <w:sz w:val="24"/>
          <w:szCs w:val="24"/>
        </w:rPr>
        <w:t xml:space="preserve">, and the </w:t>
      </w:r>
      <w:r w:rsidR="005D537C" w:rsidRPr="00100E9E">
        <w:rPr>
          <w:rFonts w:cs="Times New Roman"/>
          <w:sz w:val="24"/>
          <w:szCs w:val="24"/>
        </w:rPr>
        <w:t xml:space="preserve">potential </w:t>
      </w:r>
      <w:r w:rsidR="00AB1FAB" w:rsidRPr="00100E9E">
        <w:rPr>
          <w:rFonts w:cs="Times New Roman"/>
          <w:sz w:val="24"/>
          <w:szCs w:val="24"/>
        </w:rPr>
        <w:t>number of people it reached</w:t>
      </w:r>
      <w:r w:rsidR="00B20B82" w:rsidRPr="00100E9E">
        <w:rPr>
          <w:rFonts w:cs="Times New Roman"/>
          <w:sz w:val="24"/>
          <w:szCs w:val="24"/>
        </w:rPr>
        <w:t xml:space="preserve"> (i.e., the more reached by the program or policy the stronger it was)</w:t>
      </w:r>
      <w:r w:rsidR="00AB1FAB" w:rsidRPr="00100E9E">
        <w:rPr>
          <w:rFonts w:cs="Times New Roman"/>
          <w:sz w:val="24"/>
          <w:szCs w:val="24"/>
        </w:rPr>
        <w:t xml:space="preserve">. Four of the nine participating CILs increased the </w:t>
      </w:r>
      <w:r w:rsidR="00AB1FAB" w:rsidRPr="00100E9E">
        <w:rPr>
          <w:rFonts w:cs="Times New Roman"/>
          <w:sz w:val="24"/>
          <w:szCs w:val="24"/>
        </w:rPr>
        <w:lastRenderedPageBreak/>
        <w:t xml:space="preserve">intensity score of the community changes implemented after the initial training. Though this was not </w:t>
      </w:r>
      <w:r w:rsidR="005C5777">
        <w:rPr>
          <w:rFonts w:cs="Times New Roman"/>
          <w:sz w:val="24"/>
          <w:szCs w:val="24"/>
        </w:rPr>
        <w:t xml:space="preserve">statistically </w:t>
      </w:r>
      <w:r w:rsidR="00AB1FAB" w:rsidRPr="00100E9E">
        <w:rPr>
          <w:rFonts w:cs="Times New Roman"/>
          <w:sz w:val="24"/>
          <w:szCs w:val="24"/>
        </w:rPr>
        <w:t>significant</w:t>
      </w:r>
      <w:r w:rsidR="005D537C" w:rsidRPr="00100E9E">
        <w:rPr>
          <w:rFonts w:cs="Times New Roman"/>
          <w:sz w:val="24"/>
          <w:szCs w:val="24"/>
        </w:rPr>
        <w:t>,</w:t>
      </w:r>
      <w:r w:rsidR="00AB1FAB" w:rsidRPr="00100E9E">
        <w:rPr>
          <w:rFonts w:cs="Times New Roman"/>
          <w:sz w:val="24"/>
          <w:szCs w:val="24"/>
        </w:rPr>
        <w:t xml:space="preserve"> some components of the intensity score, such as the type of strategy</w:t>
      </w:r>
      <w:r w:rsidR="005D537C" w:rsidRPr="00100E9E">
        <w:rPr>
          <w:rFonts w:cs="Times New Roman"/>
          <w:sz w:val="24"/>
          <w:szCs w:val="24"/>
        </w:rPr>
        <w:t xml:space="preserve"> used</w:t>
      </w:r>
      <w:r w:rsidR="00482C9B" w:rsidRPr="00100E9E">
        <w:rPr>
          <w:rFonts w:cs="Times New Roman"/>
          <w:sz w:val="24"/>
          <w:szCs w:val="24"/>
        </w:rPr>
        <w:t xml:space="preserve">, </w:t>
      </w:r>
      <w:r w:rsidR="005C5777">
        <w:rPr>
          <w:rFonts w:cs="Times New Roman"/>
          <w:sz w:val="24"/>
          <w:szCs w:val="24"/>
        </w:rPr>
        <w:t xml:space="preserve">did </w:t>
      </w:r>
      <w:r w:rsidR="00AB1FAB" w:rsidRPr="00100E9E">
        <w:rPr>
          <w:rFonts w:cs="Times New Roman"/>
          <w:sz w:val="24"/>
          <w:szCs w:val="24"/>
        </w:rPr>
        <w:t xml:space="preserve">show significant improvement. </w:t>
      </w:r>
      <w:r w:rsidR="00403607" w:rsidRPr="00100E9E">
        <w:rPr>
          <w:rFonts w:cs="Times New Roman"/>
          <w:sz w:val="24"/>
          <w:szCs w:val="24"/>
        </w:rPr>
        <w:t>This suggests that CILs were more likely to implement strategies that were in high impact categories such as modifying access, barriers, and opportunities</w:t>
      </w:r>
      <w:r w:rsidR="005C5777">
        <w:rPr>
          <w:rFonts w:cs="Times New Roman"/>
          <w:sz w:val="24"/>
          <w:szCs w:val="24"/>
        </w:rPr>
        <w:t xml:space="preserve"> or strengthening</w:t>
      </w:r>
      <w:r w:rsidR="00403607" w:rsidRPr="00100E9E">
        <w:rPr>
          <w:rFonts w:cs="Times New Roman"/>
          <w:sz w:val="24"/>
          <w:szCs w:val="24"/>
        </w:rPr>
        <w:t xml:space="preserve"> policies than simply providing education or skills training</w:t>
      </w:r>
      <w:r w:rsidR="005D537C" w:rsidRPr="00100E9E">
        <w:rPr>
          <w:rFonts w:cs="Times New Roman"/>
          <w:sz w:val="24"/>
          <w:szCs w:val="24"/>
        </w:rPr>
        <w:t xml:space="preserve">, which have less </w:t>
      </w:r>
      <w:r w:rsidR="005C5777">
        <w:rPr>
          <w:rFonts w:cs="Times New Roman"/>
          <w:sz w:val="24"/>
          <w:szCs w:val="24"/>
        </w:rPr>
        <w:t xml:space="preserve">widespread </w:t>
      </w:r>
      <w:r w:rsidR="005D537C" w:rsidRPr="00100E9E">
        <w:rPr>
          <w:rFonts w:cs="Times New Roman"/>
          <w:sz w:val="24"/>
          <w:szCs w:val="24"/>
        </w:rPr>
        <w:t>effect on people’s behavior</w:t>
      </w:r>
      <w:r w:rsidR="00403607" w:rsidRPr="00100E9E">
        <w:rPr>
          <w:rFonts w:cs="Times New Roman"/>
          <w:sz w:val="24"/>
          <w:szCs w:val="24"/>
        </w:rPr>
        <w:t xml:space="preserve">. Strategies </w:t>
      </w:r>
      <w:r w:rsidR="00547E97" w:rsidRPr="00100E9E">
        <w:rPr>
          <w:rFonts w:cs="Times New Roman"/>
          <w:sz w:val="24"/>
          <w:szCs w:val="24"/>
        </w:rPr>
        <w:t xml:space="preserve">have </w:t>
      </w:r>
      <w:r w:rsidR="00403607" w:rsidRPr="00100E9E">
        <w:rPr>
          <w:rFonts w:cs="Times New Roman"/>
          <w:sz w:val="24"/>
          <w:szCs w:val="24"/>
        </w:rPr>
        <w:t xml:space="preserve">higher impact when they focus on environmental conditions and less on individual risk and protective factors. </w:t>
      </w:r>
    </w:p>
    <w:p w:rsidR="009B5822" w:rsidRPr="00100E9E" w:rsidRDefault="00B20B82" w:rsidP="007F12E7">
      <w:pPr>
        <w:spacing w:after="120"/>
        <w:rPr>
          <w:rFonts w:cs="Times New Roman"/>
          <w:sz w:val="24"/>
          <w:szCs w:val="24"/>
        </w:rPr>
      </w:pPr>
      <w:r w:rsidRPr="00100E9E">
        <w:rPr>
          <w:rFonts w:cs="Times New Roman"/>
          <w:sz w:val="24"/>
          <w:szCs w:val="24"/>
        </w:rPr>
        <w:t>Other</w:t>
      </w:r>
      <w:r w:rsidR="005354B5" w:rsidRPr="00100E9E">
        <w:rPr>
          <w:rFonts w:cs="Times New Roman"/>
          <w:sz w:val="24"/>
          <w:szCs w:val="24"/>
        </w:rPr>
        <w:t xml:space="preserve"> factors</w:t>
      </w:r>
      <w:r w:rsidR="00567918" w:rsidRPr="00100E9E">
        <w:rPr>
          <w:rFonts w:cs="Times New Roman"/>
          <w:sz w:val="24"/>
          <w:szCs w:val="24"/>
        </w:rPr>
        <w:t xml:space="preserve"> contribut</w:t>
      </w:r>
      <w:r w:rsidRPr="00100E9E">
        <w:rPr>
          <w:rFonts w:cs="Times New Roman"/>
          <w:sz w:val="24"/>
          <w:szCs w:val="24"/>
        </w:rPr>
        <w:t>ed</w:t>
      </w:r>
      <w:r w:rsidR="00567918" w:rsidRPr="00100E9E">
        <w:rPr>
          <w:rFonts w:cs="Times New Roman"/>
          <w:sz w:val="24"/>
          <w:szCs w:val="24"/>
        </w:rPr>
        <w:t xml:space="preserve"> to </w:t>
      </w:r>
      <w:r w:rsidR="00E93F59">
        <w:rPr>
          <w:rFonts w:cs="Times New Roman"/>
          <w:sz w:val="24"/>
          <w:szCs w:val="24"/>
        </w:rPr>
        <w:t>Centers’</w:t>
      </w:r>
      <w:r w:rsidR="00E93F59" w:rsidRPr="00100E9E">
        <w:rPr>
          <w:rFonts w:cs="Times New Roman"/>
          <w:sz w:val="24"/>
          <w:szCs w:val="24"/>
        </w:rPr>
        <w:t xml:space="preserve"> </w:t>
      </w:r>
      <w:r w:rsidR="00B03621" w:rsidRPr="00100E9E">
        <w:rPr>
          <w:rFonts w:cs="Times New Roman"/>
          <w:sz w:val="24"/>
          <w:szCs w:val="24"/>
        </w:rPr>
        <w:t>ability to change</w:t>
      </w:r>
      <w:r w:rsidR="005354B5" w:rsidRPr="00100E9E">
        <w:rPr>
          <w:rFonts w:cs="Times New Roman"/>
          <w:sz w:val="24"/>
          <w:szCs w:val="24"/>
        </w:rPr>
        <w:t xml:space="preserve"> communities. What organizational factors </w:t>
      </w:r>
      <w:r w:rsidR="00B03621" w:rsidRPr="00100E9E">
        <w:rPr>
          <w:rFonts w:cs="Times New Roman"/>
          <w:sz w:val="24"/>
          <w:szCs w:val="24"/>
        </w:rPr>
        <w:t>might have affected their capacity to support change</w:t>
      </w:r>
      <w:r w:rsidR="005354B5" w:rsidRPr="00100E9E">
        <w:rPr>
          <w:rFonts w:cs="Times New Roman"/>
          <w:sz w:val="24"/>
          <w:szCs w:val="24"/>
        </w:rPr>
        <w:t xml:space="preserve">? What context features at the community, </w:t>
      </w:r>
      <w:r w:rsidR="000A3F6B" w:rsidRPr="00100E9E">
        <w:rPr>
          <w:rFonts w:cs="Times New Roman"/>
          <w:sz w:val="24"/>
          <w:szCs w:val="24"/>
        </w:rPr>
        <w:t>state and federal level</w:t>
      </w:r>
      <w:r w:rsidR="005354B5" w:rsidRPr="00100E9E">
        <w:rPr>
          <w:rFonts w:cs="Times New Roman"/>
          <w:sz w:val="24"/>
          <w:szCs w:val="24"/>
        </w:rPr>
        <w:t xml:space="preserve"> inhibit or </w:t>
      </w:r>
      <w:r w:rsidR="000A3F6B" w:rsidRPr="00100E9E">
        <w:rPr>
          <w:rFonts w:cs="Times New Roman"/>
          <w:sz w:val="24"/>
          <w:szCs w:val="24"/>
        </w:rPr>
        <w:t>facilitate CILs</w:t>
      </w:r>
      <w:r w:rsidR="00E93F59">
        <w:rPr>
          <w:rFonts w:cs="Times New Roman"/>
          <w:sz w:val="24"/>
          <w:szCs w:val="24"/>
        </w:rPr>
        <w:t>’</w:t>
      </w:r>
      <w:r w:rsidR="000A3F6B" w:rsidRPr="00100E9E">
        <w:rPr>
          <w:rFonts w:cs="Times New Roman"/>
          <w:sz w:val="24"/>
          <w:szCs w:val="24"/>
        </w:rPr>
        <w:t xml:space="preserve"> </w:t>
      </w:r>
      <w:r w:rsidR="00B03621" w:rsidRPr="00100E9E">
        <w:rPr>
          <w:rFonts w:cs="Times New Roman"/>
          <w:sz w:val="24"/>
          <w:szCs w:val="24"/>
        </w:rPr>
        <w:t>efforts to change the community in ways that i</w:t>
      </w:r>
      <w:r w:rsidR="000A3F6B" w:rsidRPr="00100E9E">
        <w:rPr>
          <w:rFonts w:cs="Times New Roman"/>
          <w:sz w:val="24"/>
          <w:szCs w:val="24"/>
        </w:rPr>
        <w:t>mprov</w:t>
      </w:r>
      <w:r w:rsidR="00B03621" w:rsidRPr="00100E9E">
        <w:rPr>
          <w:rFonts w:cs="Times New Roman"/>
          <w:sz w:val="24"/>
          <w:szCs w:val="24"/>
        </w:rPr>
        <w:t>e</w:t>
      </w:r>
      <w:r w:rsidR="005354B5" w:rsidRPr="00100E9E">
        <w:rPr>
          <w:rFonts w:cs="Times New Roman"/>
          <w:sz w:val="24"/>
          <w:szCs w:val="24"/>
        </w:rPr>
        <w:t xml:space="preserve"> the lives of people with disabilities</w:t>
      </w:r>
      <w:r w:rsidR="00E93F59">
        <w:rPr>
          <w:rFonts w:cs="Times New Roman"/>
          <w:sz w:val="24"/>
          <w:szCs w:val="24"/>
        </w:rPr>
        <w:t>?</w:t>
      </w:r>
      <w:r w:rsidR="005354B5" w:rsidRPr="00100E9E">
        <w:rPr>
          <w:rFonts w:cs="Times New Roman"/>
          <w:sz w:val="24"/>
          <w:szCs w:val="24"/>
        </w:rPr>
        <w:t xml:space="preserve"> </w:t>
      </w:r>
      <w:r w:rsidR="002652CF" w:rsidRPr="00100E9E">
        <w:rPr>
          <w:rFonts w:cs="Times New Roman"/>
          <w:sz w:val="24"/>
          <w:szCs w:val="24"/>
        </w:rPr>
        <w:t>Researchers, CIL partners</w:t>
      </w:r>
      <w:r w:rsidR="00E93F59">
        <w:rPr>
          <w:rFonts w:cs="Times New Roman"/>
          <w:sz w:val="24"/>
          <w:szCs w:val="24"/>
        </w:rPr>
        <w:t>,</w:t>
      </w:r>
      <w:r w:rsidR="002652CF" w:rsidRPr="00100E9E">
        <w:rPr>
          <w:rFonts w:cs="Times New Roman"/>
          <w:sz w:val="24"/>
          <w:szCs w:val="24"/>
        </w:rPr>
        <w:t xml:space="preserve"> and national IL experts and advoc</w:t>
      </w:r>
      <w:r w:rsidR="00CD21DF" w:rsidRPr="00100E9E">
        <w:rPr>
          <w:rFonts w:cs="Times New Roman"/>
          <w:sz w:val="24"/>
          <w:szCs w:val="24"/>
        </w:rPr>
        <w:t xml:space="preserve">ates reviewed the results and identified organizational and community contextual factors that contributed to or hindered CIL ability to implement change </w:t>
      </w:r>
      <w:r w:rsidR="00E93F59">
        <w:rPr>
          <w:rFonts w:cs="Times New Roman"/>
          <w:sz w:val="24"/>
          <w:szCs w:val="24"/>
        </w:rPr>
        <w:t>between</w:t>
      </w:r>
      <w:r w:rsidR="00E93F59" w:rsidRPr="00100E9E">
        <w:rPr>
          <w:rFonts w:cs="Times New Roman"/>
          <w:sz w:val="24"/>
          <w:szCs w:val="24"/>
        </w:rPr>
        <w:t xml:space="preserve"> </w:t>
      </w:r>
      <w:r w:rsidR="00CD21DF" w:rsidRPr="00100E9E">
        <w:rPr>
          <w:rFonts w:cs="Times New Roman"/>
          <w:sz w:val="24"/>
          <w:szCs w:val="24"/>
        </w:rPr>
        <w:t xml:space="preserve">2012 </w:t>
      </w:r>
      <w:r w:rsidR="00E93F59">
        <w:rPr>
          <w:rFonts w:cs="Times New Roman"/>
          <w:sz w:val="24"/>
          <w:szCs w:val="24"/>
        </w:rPr>
        <w:t>and</w:t>
      </w:r>
      <w:r w:rsidR="00CD21DF" w:rsidRPr="00100E9E">
        <w:rPr>
          <w:rFonts w:cs="Times New Roman"/>
          <w:sz w:val="24"/>
          <w:szCs w:val="24"/>
        </w:rPr>
        <w:t xml:space="preserve"> 2016</w:t>
      </w:r>
      <w:r w:rsidR="002652CF" w:rsidRPr="00100E9E">
        <w:rPr>
          <w:rFonts w:cs="Times New Roman"/>
          <w:sz w:val="24"/>
          <w:szCs w:val="24"/>
        </w:rPr>
        <w:t xml:space="preserve">.  </w:t>
      </w:r>
      <w:r w:rsidR="00CD21DF" w:rsidRPr="00100E9E">
        <w:rPr>
          <w:rFonts w:cs="Times New Roman"/>
          <w:sz w:val="24"/>
          <w:szCs w:val="24"/>
        </w:rPr>
        <w:t>They were asked to identify the</w:t>
      </w:r>
      <w:r w:rsidR="002652CF" w:rsidRPr="00100E9E">
        <w:rPr>
          <w:rFonts w:cs="Times New Roman"/>
          <w:sz w:val="24"/>
          <w:szCs w:val="24"/>
        </w:rPr>
        <w:t xml:space="preserve"> factors which </w:t>
      </w:r>
      <w:r w:rsidR="008476A9">
        <w:rPr>
          <w:rFonts w:cs="Times New Roman"/>
          <w:sz w:val="24"/>
          <w:szCs w:val="24"/>
        </w:rPr>
        <w:t>affected Center efforts</w:t>
      </w:r>
      <w:r w:rsidR="009B5822" w:rsidRPr="00100E9E">
        <w:rPr>
          <w:rFonts w:cs="Times New Roman"/>
          <w:sz w:val="24"/>
          <w:szCs w:val="24"/>
        </w:rPr>
        <w:t xml:space="preserve"> during this time period</w:t>
      </w:r>
      <w:r w:rsidR="002652CF" w:rsidRPr="00100E9E">
        <w:rPr>
          <w:rFonts w:cs="Times New Roman"/>
          <w:sz w:val="24"/>
          <w:szCs w:val="24"/>
        </w:rPr>
        <w:t xml:space="preserve">.  </w:t>
      </w:r>
      <w:r w:rsidR="009B5822" w:rsidRPr="00100E9E">
        <w:rPr>
          <w:rFonts w:cs="Times New Roman"/>
          <w:sz w:val="24"/>
          <w:szCs w:val="24"/>
        </w:rPr>
        <w:t>Key events that facilitated changes or presented challenges to CILs</w:t>
      </w:r>
      <w:r w:rsidR="008476A9">
        <w:rPr>
          <w:rFonts w:cs="Times New Roman"/>
          <w:sz w:val="24"/>
          <w:szCs w:val="24"/>
        </w:rPr>
        <w:t>’</w:t>
      </w:r>
      <w:r w:rsidR="009B5822" w:rsidRPr="00100E9E">
        <w:rPr>
          <w:rFonts w:cs="Times New Roman"/>
          <w:sz w:val="24"/>
          <w:szCs w:val="24"/>
        </w:rPr>
        <w:t xml:space="preserve"> ability to make changes in communities and outcomes are </w:t>
      </w:r>
      <w:r w:rsidR="008476A9">
        <w:rPr>
          <w:rFonts w:cs="Times New Roman"/>
          <w:sz w:val="24"/>
          <w:szCs w:val="24"/>
        </w:rPr>
        <w:t>presented</w:t>
      </w:r>
      <w:r w:rsidR="008476A9" w:rsidRPr="00100E9E">
        <w:rPr>
          <w:rFonts w:cs="Times New Roman"/>
          <w:sz w:val="24"/>
          <w:szCs w:val="24"/>
        </w:rPr>
        <w:t xml:space="preserve"> </w:t>
      </w:r>
      <w:r w:rsidR="009B5822" w:rsidRPr="00100E9E">
        <w:rPr>
          <w:rFonts w:cs="Times New Roman"/>
          <w:sz w:val="24"/>
          <w:szCs w:val="24"/>
        </w:rPr>
        <w:t>in Figure 1.</w:t>
      </w:r>
      <w:r w:rsidR="008476A9">
        <w:rPr>
          <w:rFonts w:cs="Times New Roman"/>
          <w:sz w:val="24"/>
          <w:szCs w:val="24"/>
        </w:rPr>
        <w:t xml:space="preserve"> These included </w:t>
      </w:r>
      <w:r w:rsidR="008476A9" w:rsidRPr="00BA6155">
        <w:rPr>
          <w:rFonts w:cs="Times New Roman"/>
          <w:sz w:val="24"/>
          <w:szCs w:val="24"/>
        </w:rPr>
        <w:t>change</w:t>
      </w:r>
      <w:r w:rsidR="008476A9">
        <w:rPr>
          <w:rFonts w:cs="Times New Roman"/>
          <w:sz w:val="24"/>
          <w:szCs w:val="24"/>
        </w:rPr>
        <w:t xml:space="preserve">s in leadership, loss of funding, and loss of staff. </w:t>
      </w:r>
    </w:p>
    <w:p w:rsidR="009B5822" w:rsidRPr="00100E9E" w:rsidRDefault="009B5822" w:rsidP="007F12E7">
      <w:pPr>
        <w:spacing w:after="120"/>
        <w:rPr>
          <w:rFonts w:cs="Times New Roman"/>
          <w:sz w:val="24"/>
          <w:szCs w:val="24"/>
          <w:u w:val="single"/>
        </w:rPr>
      </w:pPr>
      <w:r w:rsidRPr="00100E9E">
        <w:rPr>
          <w:rFonts w:cs="Times New Roman"/>
          <w:sz w:val="24"/>
          <w:szCs w:val="24"/>
          <w:u w:val="single"/>
        </w:rPr>
        <w:t>Discussion</w:t>
      </w:r>
    </w:p>
    <w:p w:rsidR="00C374EF" w:rsidRPr="00100E9E" w:rsidRDefault="002652CF" w:rsidP="007F12E7">
      <w:pPr>
        <w:spacing w:after="120"/>
        <w:rPr>
          <w:rFonts w:cs="Times New Roman"/>
          <w:sz w:val="24"/>
          <w:szCs w:val="24"/>
        </w:rPr>
      </w:pPr>
      <w:r w:rsidRPr="00100E9E">
        <w:rPr>
          <w:rFonts w:cs="Times New Roman"/>
          <w:sz w:val="24"/>
          <w:szCs w:val="24"/>
        </w:rPr>
        <w:t>Several of these challenges</w:t>
      </w:r>
      <w:r w:rsidR="001B517C" w:rsidRPr="00100E9E">
        <w:rPr>
          <w:rFonts w:cs="Times New Roman"/>
          <w:sz w:val="24"/>
          <w:szCs w:val="24"/>
        </w:rPr>
        <w:t xml:space="preserve"> are presented below:</w:t>
      </w:r>
      <w:r w:rsidR="00C374EF" w:rsidRPr="00100E9E">
        <w:rPr>
          <w:rFonts w:cs="Times New Roman"/>
          <w:sz w:val="24"/>
          <w:szCs w:val="24"/>
        </w:rPr>
        <w:t xml:space="preserve"> </w:t>
      </w:r>
    </w:p>
    <w:p w:rsidR="00195B2A" w:rsidRPr="00100E9E" w:rsidRDefault="007857D2" w:rsidP="007F12E7">
      <w:pPr>
        <w:pStyle w:val="ListParagraph"/>
        <w:numPr>
          <w:ilvl w:val="0"/>
          <w:numId w:val="13"/>
        </w:numPr>
        <w:spacing w:after="120"/>
        <w:contextualSpacing w:val="0"/>
        <w:rPr>
          <w:rFonts w:cs="Times New Roman"/>
          <w:sz w:val="24"/>
          <w:szCs w:val="24"/>
        </w:rPr>
      </w:pPr>
      <w:r w:rsidRPr="00100E9E">
        <w:rPr>
          <w:rFonts w:cs="Times New Roman"/>
          <w:sz w:val="24"/>
          <w:szCs w:val="24"/>
        </w:rPr>
        <w:t>Staff changes</w:t>
      </w:r>
      <w:r w:rsidR="001A438A" w:rsidRPr="00100E9E">
        <w:rPr>
          <w:rFonts w:cs="Times New Roman"/>
          <w:sz w:val="24"/>
          <w:szCs w:val="24"/>
        </w:rPr>
        <w:t xml:space="preserve"> </w:t>
      </w:r>
      <w:r w:rsidR="00A71586" w:rsidRPr="00100E9E">
        <w:rPr>
          <w:rFonts w:cs="Times New Roman"/>
          <w:sz w:val="24"/>
          <w:szCs w:val="24"/>
        </w:rPr>
        <w:t>and l</w:t>
      </w:r>
      <w:r w:rsidR="00B33D1C" w:rsidRPr="00100E9E">
        <w:rPr>
          <w:rFonts w:cs="Times New Roman"/>
          <w:sz w:val="24"/>
          <w:szCs w:val="24"/>
        </w:rPr>
        <w:t>eadership</w:t>
      </w:r>
      <w:r w:rsidR="005D537C" w:rsidRPr="00100E9E">
        <w:rPr>
          <w:rFonts w:cs="Times New Roman"/>
          <w:sz w:val="24"/>
          <w:szCs w:val="24"/>
        </w:rPr>
        <w:t xml:space="preserve"> </w:t>
      </w:r>
    </w:p>
    <w:p w:rsidR="00D863BE" w:rsidRDefault="002C1319" w:rsidP="007F12E7">
      <w:pPr>
        <w:pStyle w:val="ListParagraph"/>
        <w:spacing w:after="120"/>
        <w:contextualSpacing w:val="0"/>
        <w:rPr>
          <w:rFonts w:cs="Times New Roman"/>
          <w:sz w:val="24"/>
          <w:szCs w:val="24"/>
        </w:rPr>
      </w:pPr>
      <w:r w:rsidRPr="00100E9E">
        <w:rPr>
          <w:rFonts w:cs="Times New Roman"/>
          <w:sz w:val="24"/>
          <w:szCs w:val="24"/>
        </w:rPr>
        <w:t>Changes in staffing affected CI</w:t>
      </w:r>
      <w:r w:rsidR="009B5822" w:rsidRPr="00100E9E">
        <w:rPr>
          <w:rFonts w:cs="Times New Roman"/>
          <w:sz w:val="24"/>
          <w:szCs w:val="24"/>
        </w:rPr>
        <w:t>Ls</w:t>
      </w:r>
      <w:r w:rsidR="008476A9">
        <w:rPr>
          <w:rFonts w:cs="Times New Roman"/>
          <w:sz w:val="24"/>
          <w:szCs w:val="24"/>
        </w:rPr>
        <w:t>’</w:t>
      </w:r>
      <w:r w:rsidRPr="00100E9E">
        <w:rPr>
          <w:rFonts w:cs="Times New Roman"/>
          <w:sz w:val="24"/>
          <w:szCs w:val="24"/>
        </w:rPr>
        <w:t xml:space="preserve"> capacity to bring about community change. </w:t>
      </w:r>
      <w:r w:rsidR="00E91A59" w:rsidRPr="00100E9E">
        <w:rPr>
          <w:rFonts w:cs="Times New Roman"/>
          <w:sz w:val="24"/>
          <w:szCs w:val="24"/>
        </w:rPr>
        <w:t>The addition of staff enabled the CILs to bring about new programs and policies</w:t>
      </w:r>
      <w:r w:rsidR="008476A9">
        <w:rPr>
          <w:rFonts w:cs="Times New Roman"/>
          <w:sz w:val="24"/>
          <w:szCs w:val="24"/>
        </w:rPr>
        <w:t xml:space="preserve">; </w:t>
      </w:r>
      <w:r w:rsidRPr="00100E9E">
        <w:rPr>
          <w:rFonts w:cs="Times New Roman"/>
          <w:sz w:val="24"/>
          <w:szCs w:val="24"/>
        </w:rPr>
        <w:t>loss of staff limited</w:t>
      </w:r>
      <w:r w:rsidR="00E91A59" w:rsidRPr="00100E9E">
        <w:rPr>
          <w:rFonts w:cs="Times New Roman"/>
          <w:sz w:val="24"/>
          <w:szCs w:val="24"/>
        </w:rPr>
        <w:t xml:space="preserve"> their </w:t>
      </w:r>
      <w:r w:rsidRPr="00100E9E">
        <w:rPr>
          <w:rFonts w:cs="Times New Roman"/>
          <w:sz w:val="24"/>
          <w:szCs w:val="24"/>
        </w:rPr>
        <w:t xml:space="preserve">ability to do so. </w:t>
      </w:r>
      <w:r w:rsidR="008476A9">
        <w:rPr>
          <w:rFonts w:cs="Times New Roman"/>
          <w:sz w:val="24"/>
          <w:szCs w:val="24"/>
        </w:rPr>
        <w:t>Data show that l</w:t>
      </w:r>
      <w:r w:rsidR="00E91A59" w:rsidRPr="00100E9E">
        <w:rPr>
          <w:rFonts w:cs="Times New Roman"/>
          <w:sz w:val="24"/>
          <w:szCs w:val="24"/>
        </w:rPr>
        <w:t>osses in staff occu</w:t>
      </w:r>
      <w:r w:rsidR="009B5822" w:rsidRPr="00100E9E">
        <w:rPr>
          <w:rFonts w:cs="Times New Roman"/>
          <w:sz w:val="24"/>
          <w:szCs w:val="24"/>
        </w:rPr>
        <w:t>r</w:t>
      </w:r>
      <w:r w:rsidR="00E91A59" w:rsidRPr="00100E9E">
        <w:rPr>
          <w:rFonts w:cs="Times New Roman"/>
          <w:sz w:val="24"/>
          <w:szCs w:val="24"/>
        </w:rPr>
        <w:t>r</w:t>
      </w:r>
      <w:r w:rsidR="009B5822" w:rsidRPr="00100E9E">
        <w:rPr>
          <w:rFonts w:cs="Times New Roman"/>
          <w:sz w:val="24"/>
          <w:szCs w:val="24"/>
        </w:rPr>
        <w:t>ed more frequently</w:t>
      </w:r>
      <w:r w:rsidR="00E91A59" w:rsidRPr="00100E9E">
        <w:rPr>
          <w:rFonts w:cs="Times New Roman"/>
          <w:sz w:val="24"/>
          <w:szCs w:val="24"/>
        </w:rPr>
        <w:t xml:space="preserve"> and had a </w:t>
      </w:r>
      <w:r w:rsidR="009B5822" w:rsidRPr="00100E9E">
        <w:rPr>
          <w:rFonts w:cs="Times New Roman"/>
          <w:sz w:val="24"/>
          <w:szCs w:val="24"/>
        </w:rPr>
        <w:t>greater</w:t>
      </w:r>
      <w:r w:rsidR="00E91A59" w:rsidRPr="00100E9E">
        <w:rPr>
          <w:rFonts w:cs="Times New Roman"/>
          <w:sz w:val="24"/>
          <w:szCs w:val="24"/>
        </w:rPr>
        <w:t xml:space="preserve"> impact on CIL</w:t>
      </w:r>
      <w:r w:rsidR="009B5822" w:rsidRPr="00100E9E">
        <w:rPr>
          <w:rFonts w:cs="Times New Roman"/>
          <w:sz w:val="24"/>
          <w:szCs w:val="24"/>
        </w:rPr>
        <w:t>s</w:t>
      </w:r>
      <w:r w:rsidR="008476A9">
        <w:rPr>
          <w:rFonts w:cs="Times New Roman"/>
          <w:sz w:val="24"/>
          <w:szCs w:val="24"/>
        </w:rPr>
        <w:t>’</w:t>
      </w:r>
      <w:r w:rsidR="009B5822" w:rsidRPr="00100E9E">
        <w:rPr>
          <w:rFonts w:cs="Times New Roman"/>
          <w:sz w:val="24"/>
          <w:szCs w:val="24"/>
        </w:rPr>
        <w:t xml:space="preserve"> capacity for change</w:t>
      </w:r>
      <w:r w:rsidR="00E91A59" w:rsidRPr="00100E9E">
        <w:rPr>
          <w:rFonts w:cs="Times New Roman"/>
          <w:sz w:val="24"/>
          <w:szCs w:val="24"/>
        </w:rPr>
        <w:t xml:space="preserve">. </w:t>
      </w:r>
      <w:r w:rsidR="00AC0058">
        <w:rPr>
          <w:rFonts w:cs="Times New Roman"/>
          <w:sz w:val="24"/>
          <w:szCs w:val="24"/>
        </w:rPr>
        <w:t xml:space="preserve">“Smithville </w:t>
      </w:r>
      <w:r w:rsidR="00C432EF">
        <w:rPr>
          <w:rFonts w:cs="Times New Roman"/>
          <w:sz w:val="24"/>
          <w:szCs w:val="24"/>
        </w:rPr>
        <w:t xml:space="preserve">CIL” </w:t>
      </w:r>
      <w:r w:rsidR="00C432EF" w:rsidRPr="00100E9E">
        <w:rPr>
          <w:rFonts w:cs="Times New Roman"/>
          <w:sz w:val="24"/>
          <w:szCs w:val="24"/>
        </w:rPr>
        <w:t>experienced</w:t>
      </w:r>
      <w:r w:rsidRPr="00100E9E">
        <w:rPr>
          <w:rFonts w:cs="Times New Roman"/>
          <w:sz w:val="24"/>
          <w:szCs w:val="24"/>
        </w:rPr>
        <w:t xml:space="preserve"> </w:t>
      </w:r>
      <w:r w:rsidR="00CC3E5E">
        <w:rPr>
          <w:rFonts w:cs="Times New Roman"/>
          <w:sz w:val="24"/>
          <w:szCs w:val="24"/>
        </w:rPr>
        <w:t xml:space="preserve">a </w:t>
      </w:r>
      <w:r w:rsidRPr="00100E9E">
        <w:rPr>
          <w:rFonts w:cs="Times New Roman"/>
          <w:sz w:val="24"/>
          <w:szCs w:val="24"/>
        </w:rPr>
        <w:t xml:space="preserve">significant loss of </w:t>
      </w:r>
      <w:r w:rsidR="00C432EF">
        <w:rPr>
          <w:rFonts w:cs="Times New Roman"/>
          <w:sz w:val="24"/>
          <w:szCs w:val="24"/>
        </w:rPr>
        <w:t>employees</w:t>
      </w:r>
      <w:r w:rsidR="00C432EF" w:rsidRPr="00100E9E">
        <w:rPr>
          <w:rFonts w:cs="Times New Roman"/>
          <w:sz w:val="24"/>
          <w:szCs w:val="24"/>
        </w:rPr>
        <w:t xml:space="preserve"> </w:t>
      </w:r>
      <w:r w:rsidR="00D863BE" w:rsidRPr="00100E9E">
        <w:rPr>
          <w:rFonts w:cs="Times New Roman"/>
          <w:sz w:val="24"/>
          <w:szCs w:val="24"/>
        </w:rPr>
        <w:t xml:space="preserve">described </w:t>
      </w:r>
      <w:r w:rsidR="00CC3E5E">
        <w:rPr>
          <w:rFonts w:cs="Times New Roman"/>
          <w:sz w:val="24"/>
          <w:szCs w:val="24"/>
        </w:rPr>
        <w:t xml:space="preserve">by staff </w:t>
      </w:r>
      <w:r w:rsidR="00D863BE" w:rsidRPr="00100E9E">
        <w:rPr>
          <w:rFonts w:cs="Times New Roman"/>
          <w:sz w:val="24"/>
          <w:szCs w:val="24"/>
        </w:rPr>
        <w:t xml:space="preserve">as an </w:t>
      </w:r>
      <w:r w:rsidR="008476A9">
        <w:rPr>
          <w:rFonts w:cs="Times New Roman"/>
          <w:sz w:val="24"/>
          <w:szCs w:val="24"/>
        </w:rPr>
        <w:t>“</w:t>
      </w:r>
      <w:r w:rsidR="00D863BE" w:rsidRPr="00100E9E">
        <w:rPr>
          <w:rFonts w:cs="Times New Roman"/>
          <w:sz w:val="24"/>
          <w:szCs w:val="24"/>
        </w:rPr>
        <w:t>exodus</w:t>
      </w:r>
      <w:r w:rsidR="00CC3E5E">
        <w:rPr>
          <w:rFonts w:cs="Times New Roman"/>
          <w:sz w:val="24"/>
          <w:szCs w:val="24"/>
        </w:rPr>
        <w:t>,</w:t>
      </w:r>
      <w:r w:rsidR="008476A9">
        <w:rPr>
          <w:rFonts w:cs="Times New Roman"/>
          <w:sz w:val="24"/>
          <w:szCs w:val="24"/>
        </w:rPr>
        <w:t>”</w:t>
      </w:r>
      <w:r w:rsidR="00D863BE" w:rsidRPr="00100E9E">
        <w:rPr>
          <w:rFonts w:cs="Times New Roman"/>
          <w:sz w:val="24"/>
          <w:szCs w:val="24"/>
        </w:rPr>
        <w:t xml:space="preserve"> </w:t>
      </w:r>
      <w:r w:rsidR="00CC3E5E">
        <w:rPr>
          <w:rFonts w:cs="Times New Roman"/>
          <w:sz w:val="24"/>
          <w:szCs w:val="24"/>
        </w:rPr>
        <w:t>including</w:t>
      </w:r>
      <w:r w:rsidRPr="00100E9E">
        <w:rPr>
          <w:rFonts w:cs="Times New Roman"/>
          <w:sz w:val="24"/>
          <w:szCs w:val="24"/>
        </w:rPr>
        <w:t xml:space="preserve"> the loss of several directors </w:t>
      </w:r>
      <w:r w:rsidR="006A26E0" w:rsidRPr="00100E9E">
        <w:rPr>
          <w:rFonts w:cs="Times New Roman"/>
          <w:sz w:val="24"/>
          <w:szCs w:val="24"/>
        </w:rPr>
        <w:t>d</w:t>
      </w:r>
      <w:r w:rsidR="00D863BE" w:rsidRPr="00100E9E">
        <w:rPr>
          <w:rFonts w:cs="Times New Roman"/>
          <w:sz w:val="24"/>
          <w:szCs w:val="24"/>
        </w:rPr>
        <w:t xml:space="preserve">uring a </w:t>
      </w:r>
      <w:r w:rsidR="008476A9">
        <w:rPr>
          <w:rFonts w:cs="Times New Roman"/>
          <w:sz w:val="24"/>
          <w:szCs w:val="24"/>
        </w:rPr>
        <w:t>one-</w:t>
      </w:r>
      <w:r w:rsidR="00D863BE" w:rsidRPr="00100E9E">
        <w:rPr>
          <w:rFonts w:cs="Times New Roman"/>
          <w:sz w:val="24"/>
          <w:szCs w:val="24"/>
        </w:rPr>
        <w:t>year period.</w:t>
      </w:r>
      <w:r w:rsidR="001B517C" w:rsidRPr="00100E9E">
        <w:rPr>
          <w:rFonts w:cs="Times New Roman"/>
          <w:sz w:val="24"/>
          <w:szCs w:val="24"/>
        </w:rPr>
        <w:t xml:space="preserve">  </w:t>
      </w:r>
      <w:r w:rsidR="007C17D2">
        <w:rPr>
          <w:rFonts w:cs="Times New Roman"/>
          <w:sz w:val="24"/>
          <w:szCs w:val="24"/>
        </w:rPr>
        <w:t>Staff time available</w:t>
      </w:r>
      <w:r w:rsidR="007C17D2" w:rsidRPr="00100E9E">
        <w:rPr>
          <w:rFonts w:cs="Times New Roman"/>
          <w:sz w:val="24"/>
          <w:szCs w:val="24"/>
        </w:rPr>
        <w:t xml:space="preserve"> </w:t>
      </w:r>
      <w:r w:rsidR="006A26E0" w:rsidRPr="00100E9E">
        <w:rPr>
          <w:rFonts w:cs="Times New Roman"/>
          <w:sz w:val="24"/>
          <w:szCs w:val="24"/>
        </w:rPr>
        <w:t xml:space="preserve">to bring about </w:t>
      </w:r>
      <w:r w:rsidR="00E91A59" w:rsidRPr="00100E9E">
        <w:rPr>
          <w:rFonts w:cs="Times New Roman"/>
          <w:sz w:val="24"/>
          <w:szCs w:val="24"/>
        </w:rPr>
        <w:t>community change</w:t>
      </w:r>
      <w:r w:rsidR="007C17D2">
        <w:rPr>
          <w:rFonts w:cs="Times New Roman"/>
          <w:sz w:val="24"/>
          <w:szCs w:val="24"/>
        </w:rPr>
        <w:t xml:space="preserve"> suffered as </w:t>
      </w:r>
      <w:r w:rsidR="00C432EF">
        <w:rPr>
          <w:rFonts w:cs="Times New Roman"/>
          <w:sz w:val="24"/>
          <w:szCs w:val="24"/>
        </w:rPr>
        <w:t xml:space="preserve">the remaining employees </w:t>
      </w:r>
      <w:r w:rsidR="007C17D2">
        <w:rPr>
          <w:rFonts w:cs="Times New Roman"/>
          <w:sz w:val="24"/>
          <w:szCs w:val="24"/>
        </w:rPr>
        <w:t>struggled to maintain core services</w:t>
      </w:r>
      <w:r w:rsidR="00D863BE" w:rsidRPr="00100E9E">
        <w:rPr>
          <w:rFonts w:cs="Times New Roman"/>
          <w:sz w:val="24"/>
          <w:szCs w:val="24"/>
        </w:rPr>
        <w:t xml:space="preserve">. </w:t>
      </w:r>
    </w:p>
    <w:p w:rsidR="007F12E7" w:rsidRDefault="00195B2A" w:rsidP="007F12E7">
      <w:pPr>
        <w:pStyle w:val="ListParagraph"/>
        <w:numPr>
          <w:ilvl w:val="0"/>
          <w:numId w:val="13"/>
        </w:numPr>
        <w:spacing w:after="120"/>
        <w:contextualSpacing w:val="0"/>
        <w:rPr>
          <w:rFonts w:cs="Times New Roman"/>
          <w:sz w:val="24"/>
          <w:szCs w:val="24"/>
        </w:rPr>
      </w:pPr>
      <w:r w:rsidRPr="007F12E7">
        <w:rPr>
          <w:rFonts w:cs="Times New Roman"/>
          <w:sz w:val="24"/>
          <w:szCs w:val="24"/>
        </w:rPr>
        <w:t xml:space="preserve">Medicaid </w:t>
      </w:r>
      <w:r w:rsidR="00D863BE" w:rsidRPr="007F12E7">
        <w:rPr>
          <w:rFonts w:cs="Times New Roman"/>
          <w:sz w:val="24"/>
          <w:szCs w:val="24"/>
        </w:rPr>
        <w:t>expansion (or not)</w:t>
      </w:r>
    </w:p>
    <w:p w:rsidR="00B43026" w:rsidRPr="007F12E7" w:rsidRDefault="007C17D2" w:rsidP="007F12E7">
      <w:pPr>
        <w:pStyle w:val="ListParagraph"/>
        <w:spacing w:after="120"/>
        <w:contextualSpacing w:val="0"/>
        <w:rPr>
          <w:rFonts w:cs="Times New Roman"/>
          <w:sz w:val="24"/>
          <w:szCs w:val="24"/>
        </w:rPr>
      </w:pPr>
      <w:r w:rsidRPr="007F12E7">
        <w:rPr>
          <w:rFonts w:cs="Times New Roman"/>
          <w:sz w:val="24"/>
          <w:szCs w:val="24"/>
        </w:rPr>
        <w:t>S</w:t>
      </w:r>
      <w:r w:rsidR="002644A9" w:rsidRPr="007F12E7">
        <w:rPr>
          <w:rFonts w:cs="Times New Roman"/>
          <w:sz w:val="24"/>
          <w:szCs w:val="24"/>
        </w:rPr>
        <w:t>tate-level</w:t>
      </w:r>
      <w:r w:rsidRPr="007F12E7">
        <w:rPr>
          <w:rFonts w:cs="Times New Roman"/>
          <w:sz w:val="24"/>
          <w:szCs w:val="24"/>
        </w:rPr>
        <w:t xml:space="preserve"> changes</w:t>
      </w:r>
      <w:r w:rsidR="002644A9" w:rsidRPr="007F12E7">
        <w:rPr>
          <w:rFonts w:cs="Times New Roman"/>
          <w:sz w:val="24"/>
          <w:szCs w:val="24"/>
        </w:rPr>
        <w:t xml:space="preserve"> due</w:t>
      </w:r>
      <w:r w:rsidR="00B8237A" w:rsidRPr="007F12E7">
        <w:rPr>
          <w:rFonts w:cs="Times New Roman"/>
          <w:sz w:val="24"/>
          <w:szCs w:val="24"/>
        </w:rPr>
        <w:t xml:space="preserve"> to </w:t>
      </w:r>
      <w:r w:rsidR="002B3146" w:rsidRPr="007F12E7">
        <w:rPr>
          <w:rFonts w:cs="Times New Roman"/>
          <w:sz w:val="24"/>
          <w:szCs w:val="24"/>
        </w:rPr>
        <w:t>rejection</w:t>
      </w:r>
      <w:r w:rsidR="002644A9" w:rsidRPr="007F12E7">
        <w:rPr>
          <w:rFonts w:cs="Times New Roman"/>
          <w:sz w:val="24"/>
          <w:szCs w:val="24"/>
        </w:rPr>
        <w:t xml:space="preserve"> of Medicaid expansion</w:t>
      </w:r>
      <w:r w:rsidR="002B3146" w:rsidRPr="007F12E7">
        <w:rPr>
          <w:rFonts w:cs="Times New Roman"/>
          <w:sz w:val="24"/>
          <w:szCs w:val="24"/>
        </w:rPr>
        <w:t xml:space="preserve"> r</w:t>
      </w:r>
      <w:r w:rsidR="002644A9" w:rsidRPr="007F12E7">
        <w:rPr>
          <w:rFonts w:cs="Times New Roman"/>
          <w:sz w:val="24"/>
          <w:szCs w:val="24"/>
        </w:rPr>
        <w:t xml:space="preserve">educed funding </w:t>
      </w:r>
      <w:r w:rsidR="00B8237A" w:rsidRPr="007F12E7">
        <w:rPr>
          <w:rFonts w:cs="Times New Roman"/>
          <w:sz w:val="24"/>
          <w:szCs w:val="24"/>
        </w:rPr>
        <w:t>for CIL services.</w:t>
      </w:r>
      <w:r w:rsidR="002B3146" w:rsidRPr="007F12E7">
        <w:rPr>
          <w:rFonts w:cs="Times New Roman"/>
          <w:sz w:val="24"/>
          <w:szCs w:val="24"/>
        </w:rPr>
        <w:t xml:space="preserve"> S</w:t>
      </w:r>
      <w:r w:rsidR="002644A9" w:rsidRPr="007F12E7">
        <w:rPr>
          <w:rFonts w:cs="Times New Roman"/>
          <w:sz w:val="24"/>
          <w:szCs w:val="24"/>
        </w:rPr>
        <w:t xml:space="preserve">ervices </w:t>
      </w:r>
      <w:r w:rsidR="002B3146" w:rsidRPr="007F12E7">
        <w:rPr>
          <w:rFonts w:cs="Times New Roman"/>
          <w:sz w:val="24"/>
          <w:szCs w:val="24"/>
        </w:rPr>
        <w:t>such as case management were</w:t>
      </w:r>
      <w:r w:rsidRPr="007F12E7">
        <w:rPr>
          <w:rFonts w:cs="Times New Roman"/>
          <w:sz w:val="24"/>
          <w:szCs w:val="24"/>
        </w:rPr>
        <w:t xml:space="preserve"> in some cases</w:t>
      </w:r>
      <w:r w:rsidR="002B3146" w:rsidRPr="007F12E7">
        <w:rPr>
          <w:rFonts w:cs="Times New Roman"/>
          <w:sz w:val="24"/>
          <w:szCs w:val="24"/>
        </w:rPr>
        <w:t xml:space="preserve"> shifted from CILs </w:t>
      </w:r>
      <w:r w:rsidR="002644A9" w:rsidRPr="007F12E7">
        <w:rPr>
          <w:rFonts w:cs="Times New Roman"/>
          <w:sz w:val="24"/>
          <w:szCs w:val="24"/>
        </w:rPr>
        <w:t>to other organizations</w:t>
      </w:r>
      <w:r w:rsidRPr="007F12E7">
        <w:rPr>
          <w:rFonts w:cs="Times New Roman"/>
          <w:sz w:val="24"/>
          <w:szCs w:val="24"/>
        </w:rPr>
        <w:t>/</w:t>
      </w:r>
      <w:r w:rsidR="00B8237A" w:rsidRPr="007F12E7">
        <w:rPr>
          <w:rFonts w:cs="Times New Roman"/>
          <w:sz w:val="24"/>
          <w:szCs w:val="24"/>
        </w:rPr>
        <w:t xml:space="preserve"> </w:t>
      </w:r>
      <w:r w:rsidR="002644A9" w:rsidRPr="007F12E7">
        <w:rPr>
          <w:rFonts w:cs="Times New Roman"/>
          <w:sz w:val="24"/>
          <w:szCs w:val="24"/>
        </w:rPr>
        <w:t xml:space="preserve">managed care </w:t>
      </w:r>
      <w:r w:rsidR="00C432EF" w:rsidRPr="007F12E7">
        <w:rPr>
          <w:rFonts w:cs="Times New Roman"/>
          <w:sz w:val="24"/>
          <w:szCs w:val="24"/>
        </w:rPr>
        <w:t>organizations</w:t>
      </w:r>
      <w:r w:rsidR="002B3146" w:rsidRPr="007F12E7">
        <w:rPr>
          <w:rFonts w:cs="Times New Roman"/>
          <w:sz w:val="24"/>
          <w:szCs w:val="24"/>
        </w:rPr>
        <w:t xml:space="preserve">. In addition, states that engaged in aggressive reductions in state spending </w:t>
      </w:r>
      <w:r w:rsidR="002644A9" w:rsidRPr="007F12E7">
        <w:rPr>
          <w:rFonts w:cs="Times New Roman"/>
          <w:sz w:val="24"/>
          <w:szCs w:val="24"/>
        </w:rPr>
        <w:t>scrutin</w:t>
      </w:r>
      <w:r w:rsidR="002B3146" w:rsidRPr="007F12E7">
        <w:rPr>
          <w:rFonts w:cs="Times New Roman"/>
          <w:sz w:val="24"/>
          <w:szCs w:val="24"/>
        </w:rPr>
        <w:t>ized</w:t>
      </w:r>
      <w:r w:rsidR="002644A9" w:rsidRPr="007F12E7">
        <w:rPr>
          <w:rFonts w:cs="Times New Roman"/>
          <w:sz w:val="24"/>
          <w:szCs w:val="24"/>
        </w:rPr>
        <w:t xml:space="preserve"> and </w:t>
      </w:r>
      <w:r w:rsidR="002B3146" w:rsidRPr="007F12E7">
        <w:rPr>
          <w:rFonts w:cs="Times New Roman"/>
          <w:sz w:val="24"/>
          <w:szCs w:val="24"/>
        </w:rPr>
        <w:t xml:space="preserve">carefully </w:t>
      </w:r>
      <w:r w:rsidR="002644A9" w:rsidRPr="007F12E7">
        <w:rPr>
          <w:rFonts w:cs="Times New Roman"/>
          <w:sz w:val="24"/>
          <w:szCs w:val="24"/>
        </w:rPr>
        <w:t>review</w:t>
      </w:r>
      <w:r w:rsidR="002B3146" w:rsidRPr="007F12E7">
        <w:rPr>
          <w:rFonts w:cs="Times New Roman"/>
          <w:sz w:val="24"/>
          <w:szCs w:val="24"/>
        </w:rPr>
        <w:t xml:space="preserve">ed </w:t>
      </w:r>
      <w:r w:rsidR="002644A9" w:rsidRPr="007F12E7">
        <w:rPr>
          <w:rFonts w:cs="Times New Roman"/>
          <w:sz w:val="24"/>
          <w:szCs w:val="24"/>
        </w:rPr>
        <w:t>spending</w:t>
      </w:r>
      <w:r w:rsidR="00B8237A" w:rsidRPr="007F12E7">
        <w:rPr>
          <w:rFonts w:cs="Times New Roman"/>
          <w:sz w:val="24"/>
          <w:szCs w:val="24"/>
        </w:rPr>
        <w:t xml:space="preserve"> by the CILs</w:t>
      </w:r>
      <w:r w:rsidRPr="007F12E7">
        <w:rPr>
          <w:rFonts w:cs="Times New Roman"/>
          <w:sz w:val="24"/>
          <w:szCs w:val="24"/>
        </w:rPr>
        <w:t xml:space="preserve">, </w:t>
      </w:r>
      <w:r w:rsidR="00B8237A" w:rsidRPr="007F12E7">
        <w:rPr>
          <w:rFonts w:cs="Times New Roman"/>
          <w:sz w:val="24"/>
          <w:szCs w:val="24"/>
        </w:rPr>
        <w:t>leading them to beco</w:t>
      </w:r>
      <w:r w:rsidR="002B3146" w:rsidRPr="007F12E7">
        <w:rPr>
          <w:rFonts w:cs="Times New Roman"/>
          <w:sz w:val="24"/>
          <w:szCs w:val="24"/>
        </w:rPr>
        <w:t>me more risk-averse</w:t>
      </w:r>
      <w:r w:rsidR="00B8237A" w:rsidRPr="007F12E7">
        <w:rPr>
          <w:rFonts w:cs="Times New Roman"/>
          <w:sz w:val="24"/>
          <w:szCs w:val="24"/>
        </w:rPr>
        <w:t>. F</w:t>
      </w:r>
      <w:r w:rsidR="002B3146" w:rsidRPr="007F12E7">
        <w:rPr>
          <w:rFonts w:cs="Times New Roman"/>
          <w:sz w:val="24"/>
          <w:szCs w:val="24"/>
        </w:rPr>
        <w:t xml:space="preserve">ewer </w:t>
      </w:r>
      <w:r w:rsidR="00B8237A" w:rsidRPr="007F12E7">
        <w:rPr>
          <w:rFonts w:cs="Times New Roman"/>
          <w:sz w:val="24"/>
          <w:szCs w:val="24"/>
        </w:rPr>
        <w:t>community a</w:t>
      </w:r>
      <w:r w:rsidR="002B3146" w:rsidRPr="007F12E7">
        <w:rPr>
          <w:rFonts w:cs="Times New Roman"/>
          <w:sz w:val="24"/>
          <w:szCs w:val="24"/>
        </w:rPr>
        <w:t>ction</w:t>
      </w:r>
      <w:r w:rsidR="00B8237A" w:rsidRPr="007F12E7">
        <w:rPr>
          <w:rFonts w:cs="Times New Roman"/>
          <w:sz w:val="24"/>
          <w:szCs w:val="24"/>
        </w:rPr>
        <w:t>s were taken a</w:t>
      </w:r>
      <w:r w:rsidRPr="007F12E7">
        <w:rPr>
          <w:rFonts w:cs="Times New Roman"/>
          <w:sz w:val="24"/>
          <w:szCs w:val="24"/>
        </w:rPr>
        <w:t>s</w:t>
      </w:r>
      <w:r w:rsidR="00B8237A" w:rsidRPr="007F12E7">
        <w:rPr>
          <w:rFonts w:cs="Times New Roman"/>
          <w:sz w:val="24"/>
          <w:szCs w:val="24"/>
        </w:rPr>
        <w:t xml:space="preserve"> the focus </w:t>
      </w:r>
      <w:r w:rsidRPr="007F12E7">
        <w:rPr>
          <w:rFonts w:cs="Times New Roman"/>
          <w:sz w:val="24"/>
          <w:szCs w:val="24"/>
        </w:rPr>
        <w:t>narrowed to</w:t>
      </w:r>
      <w:r w:rsidR="002644A9" w:rsidRPr="007F12E7">
        <w:rPr>
          <w:rFonts w:cs="Times New Roman"/>
          <w:sz w:val="24"/>
          <w:szCs w:val="24"/>
        </w:rPr>
        <w:t xml:space="preserve"> </w:t>
      </w:r>
      <w:r w:rsidRPr="007F12E7">
        <w:rPr>
          <w:rFonts w:cs="Times New Roman"/>
          <w:sz w:val="24"/>
          <w:szCs w:val="24"/>
        </w:rPr>
        <w:t xml:space="preserve">maintaining their ability to provide </w:t>
      </w:r>
      <w:r w:rsidR="002644A9" w:rsidRPr="007F12E7">
        <w:rPr>
          <w:rFonts w:cs="Times New Roman"/>
          <w:sz w:val="24"/>
          <w:szCs w:val="24"/>
        </w:rPr>
        <w:t xml:space="preserve">direct IL services. </w:t>
      </w:r>
      <w:r w:rsidR="00DD2993" w:rsidRPr="007F12E7">
        <w:rPr>
          <w:rFonts w:cs="Times New Roman"/>
          <w:sz w:val="24"/>
          <w:szCs w:val="24"/>
        </w:rPr>
        <w:t xml:space="preserve">CILs responded to this </w:t>
      </w:r>
      <w:r w:rsidR="002B3146" w:rsidRPr="007F12E7">
        <w:rPr>
          <w:rFonts w:cs="Times New Roman"/>
          <w:sz w:val="24"/>
          <w:szCs w:val="24"/>
        </w:rPr>
        <w:t xml:space="preserve">threat </w:t>
      </w:r>
      <w:r w:rsidR="00DD2993" w:rsidRPr="007F12E7">
        <w:rPr>
          <w:rFonts w:cs="Times New Roman"/>
          <w:sz w:val="24"/>
          <w:szCs w:val="24"/>
        </w:rPr>
        <w:t>by</w:t>
      </w:r>
      <w:r w:rsidR="00B8237A" w:rsidRPr="007F12E7">
        <w:rPr>
          <w:rFonts w:cs="Times New Roman"/>
          <w:sz w:val="24"/>
          <w:szCs w:val="24"/>
        </w:rPr>
        <w:t xml:space="preserve"> engag</w:t>
      </w:r>
      <w:r w:rsidRPr="007F12E7">
        <w:rPr>
          <w:rFonts w:cs="Times New Roman"/>
          <w:sz w:val="24"/>
          <w:szCs w:val="24"/>
        </w:rPr>
        <w:t>ing</w:t>
      </w:r>
      <w:r w:rsidR="00B8237A" w:rsidRPr="007F12E7">
        <w:rPr>
          <w:rFonts w:cs="Times New Roman"/>
          <w:sz w:val="24"/>
          <w:szCs w:val="24"/>
        </w:rPr>
        <w:t xml:space="preserve"> communities through</w:t>
      </w:r>
      <w:r w:rsidR="0080202D" w:rsidRPr="007F12E7">
        <w:rPr>
          <w:rFonts w:cs="Times New Roman"/>
          <w:sz w:val="24"/>
          <w:szCs w:val="24"/>
        </w:rPr>
        <w:t xml:space="preserve"> </w:t>
      </w:r>
      <w:r w:rsidR="002B3146" w:rsidRPr="007F12E7">
        <w:rPr>
          <w:rFonts w:cs="Times New Roman"/>
          <w:sz w:val="24"/>
          <w:szCs w:val="24"/>
        </w:rPr>
        <w:t>public education</w:t>
      </w:r>
      <w:r w:rsidR="00B8237A" w:rsidRPr="007F12E7">
        <w:rPr>
          <w:rFonts w:cs="Times New Roman"/>
          <w:sz w:val="24"/>
          <w:szCs w:val="24"/>
        </w:rPr>
        <w:t>, awareness building</w:t>
      </w:r>
      <w:r w:rsidRPr="007F12E7">
        <w:rPr>
          <w:rFonts w:cs="Times New Roman"/>
          <w:sz w:val="24"/>
          <w:szCs w:val="24"/>
        </w:rPr>
        <w:t>,</w:t>
      </w:r>
      <w:r w:rsidR="002B3146" w:rsidRPr="007F12E7">
        <w:rPr>
          <w:rFonts w:cs="Times New Roman"/>
          <w:sz w:val="24"/>
          <w:szCs w:val="24"/>
        </w:rPr>
        <w:t xml:space="preserve"> and voter registration</w:t>
      </w:r>
      <w:r w:rsidR="0080202D" w:rsidRPr="007F12E7">
        <w:rPr>
          <w:rFonts w:cs="Times New Roman"/>
          <w:sz w:val="24"/>
          <w:szCs w:val="24"/>
        </w:rPr>
        <w:t>.</w:t>
      </w:r>
      <w:r w:rsidR="000E3A59" w:rsidRPr="007F12E7">
        <w:rPr>
          <w:rFonts w:cs="Times New Roman"/>
          <w:sz w:val="24"/>
          <w:szCs w:val="24"/>
        </w:rPr>
        <w:t xml:space="preserve"> </w:t>
      </w:r>
    </w:p>
    <w:p w:rsidR="00D863BE" w:rsidRPr="00100E9E" w:rsidRDefault="00B8237A" w:rsidP="007F12E7">
      <w:pPr>
        <w:spacing w:after="120"/>
        <w:ind w:left="720"/>
        <w:rPr>
          <w:rFonts w:cs="Times New Roman"/>
          <w:sz w:val="24"/>
          <w:szCs w:val="24"/>
        </w:rPr>
      </w:pPr>
      <w:r w:rsidRPr="00100E9E">
        <w:rPr>
          <w:rFonts w:cs="Times New Roman"/>
          <w:sz w:val="24"/>
          <w:szCs w:val="24"/>
        </w:rPr>
        <w:t xml:space="preserve">The </w:t>
      </w:r>
      <w:r w:rsidR="000E3A59" w:rsidRPr="00100E9E">
        <w:rPr>
          <w:rFonts w:cs="Times New Roman"/>
          <w:sz w:val="24"/>
          <w:szCs w:val="24"/>
        </w:rPr>
        <w:t xml:space="preserve">health </w:t>
      </w:r>
      <w:r w:rsidR="00B43026" w:rsidRPr="00100E9E">
        <w:rPr>
          <w:rFonts w:cs="Times New Roman"/>
          <w:sz w:val="24"/>
          <w:szCs w:val="24"/>
        </w:rPr>
        <w:t>insurance</w:t>
      </w:r>
      <w:r w:rsidR="000E3A59" w:rsidRPr="00100E9E">
        <w:rPr>
          <w:rFonts w:cs="Times New Roman"/>
          <w:sz w:val="24"/>
          <w:szCs w:val="24"/>
        </w:rPr>
        <w:t xml:space="preserve"> requirement</w:t>
      </w:r>
      <w:r w:rsidR="00B43026" w:rsidRPr="00100E9E">
        <w:rPr>
          <w:rFonts w:cs="Times New Roman"/>
          <w:sz w:val="24"/>
          <w:szCs w:val="24"/>
        </w:rPr>
        <w:t>s</w:t>
      </w:r>
      <w:r w:rsidR="0034683D">
        <w:rPr>
          <w:rFonts w:cs="Times New Roman"/>
          <w:sz w:val="24"/>
          <w:szCs w:val="24"/>
        </w:rPr>
        <w:t xml:space="preserve"> of the Affordable</w:t>
      </w:r>
      <w:r w:rsidRPr="00100E9E">
        <w:rPr>
          <w:rFonts w:cs="Times New Roman"/>
          <w:sz w:val="24"/>
          <w:szCs w:val="24"/>
        </w:rPr>
        <w:t xml:space="preserve"> Care Act often led</w:t>
      </w:r>
      <w:r w:rsidR="00B43026" w:rsidRPr="00100E9E">
        <w:rPr>
          <w:rFonts w:cs="Times New Roman"/>
          <w:sz w:val="24"/>
          <w:szCs w:val="24"/>
        </w:rPr>
        <w:t xml:space="preserve"> to </w:t>
      </w:r>
      <w:r w:rsidR="00E91A59" w:rsidRPr="00100E9E">
        <w:rPr>
          <w:rFonts w:cs="Times New Roman"/>
          <w:sz w:val="24"/>
          <w:szCs w:val="24"/>
        </w:rPr>
        <w:t>extremely high caseloads</w:t>
      </w:r>
      <w:r w:rsidRPr="00100E9E">
        <w:rPr>
          <w:rFonts w:cs="Times New Roman"/>
          <w:sz w:val="24"/>
          <w:szCs w:val="24"/>
        </w:rPr>
        <w:t xml:space="preserve"> and consumer demands for navigation assistance</w:t>
      </w:r>
      <w:r w:rsidR="00E91A59" w:rsidRPr="00100E9E">
        <w:rPr>
          <w:rFonts w:cs="Times New Roman"/>
          <w:sz w:val="24"/>
          <w:szCs w:val="24"/>
        </w:rPr>
        <w:t xml:space="preserve"> limit</w:t>
      </w:r>
      <w:r w:rsidR="00B43026" w:rsidRPr="00100E9E">
        <w:rPr>
          <w:rFonts w:cs="Times New Roman"/>
          <w:sz w:val="24"/>
          <w:szCs w:val="24"/>
        </w:rPr>
        <w:t>ed CILs</w:t>
      </w:r>
      <w:r w:rsidR="007C17D2">
        <w:rPr>
          <w:rFonts w:cs="Times New Roman"/>
          <w:sz w:val="24"/>
          <w:szCs w:val="24"/>
        </w:rPr>
        <w:t>’</w:t>
      </w:r>
      <w:r w:rsidR="00B43026" w:rsidRPr="00100E9E">
        <w:rPr>
          <w:rFonts w:cs="Times New Roman"/>
          <w:sz w:val="24"/>
          <w:szCs w:val="24"/>
        </w:rPr>
        <w:t xml:space="preserve"> ability to </w:t>
      </w:r>
      <w:r w:rsidR="00B43026" w:rsidRPr="00100E9E">
        <w:rPr>
          <w:rFonts w:cs="Times New Roman"/>
          <w:sz w:val="24"/>
          <w:szCs w:val="24"/>
        </w:rPr>
        <w:lastRenderedPageBreak/>
        <w:t xml:space="preserve">focus on new </w:t>
      </w:r>
      <w:r w:rsidRPr="00100E9E">
        <w:rPr>
          <w:rFonts w:cs="Times New Roman"/>
          <w:sz w:val="24"/>
          <w:szCs w:val="24"/>
        </w:rPr>
        <w:t xml:space="preserve">community </w:t>
      </w:r>
      <w:r w:rsidR="00B43026" w:rsidRPr="00100E9E">
        <w:rPr>
          <w:rFonts w:cs="Times New Roman"/>
          <w:sz w:val="24"/>
          <w:szCs w:val="24"/>
        </w:rPr>
        <w:t xml:space="preserve">programs and policies. </w:t>
      </w:r>
      <w:r w:rsidR="00E91A59" w:rsidRPr="00100E9E">
        <w:rPr>
          <w:rFonts w:cs="Times New Roman"/>
          <w:sz w:val="24"/>
          <w:szCs w:val="24"/>
        </w:rPr>
        <w:t xml:space="preserve"> </w:t>
      </w:r>
      <w:r w:rsidR="00BC5572" w:rsidRPr="00100E9E">
        <w:rPr>
          <w:rFonts w:cs="Times New Roman"/>
          <w:sz w:val="24"/>
          <w:szCs w:val="24"/>
        </w:rPr>
        <w:t xml:space="preserve">Other state requirements, from Vocational Rehabilitation for example, </w:t>
      </w:r>
      <w:r w:rsidR="00D863BE" w:rsidRPr="00100E9E">
        <w:rPr>
          <w:rFonts w:cs="Times New Roman"/>
          <w:sz w:val="24"/>
          <w:szCs w:val="24"/>
        </w:rPr>
        <w:t>concerning eligibility of consumers for</w:t>
      </w:r>
      <w:r w:rsidR="00BC5572" w:rsidRPr="00100E9E">
        <w:rPr>
          <w:rFonts w:cs="Times New Roman"/>
          <w:sz w:val="24"/>
          <w:szCs w:val="24"/>
        </w:rPr>
        <w:t xml:space="preserve"> IL support led to the loss of </w:t>
      </w:r>
      <w:r w:rsidR="00D863BE" w:rsidRPr="00100E9E">
        <w:rPr>
          <w:rFonts w:cs="Times New Roman"/>
          <w:sz w:val="24"/>
          <w:szCs w:val="24"/>
        </w:rPr>
        <w:t xml:space="preserve">consumers of </w:t>
      </w:r>
      <w:r w:rsidR="00BC5572" w:rsidRPr="00100E9E">
        <w:rPr>
          <w:rFonts w:cs="Times New Roman"/>
          <w:sz w:val="24"/>
          <w:szCs w:val="24"/>
        </w:rPr>
        <w:t xml:space="preserve">other IL </w:t>
      </w:r>
      <w:r w:rsidR="00D863BE" w:rsidRPr="00100E9E">
        <w:rPr>
          <w:rFonts w:cs="Times New Roman"/>
          <w:sz w:val="24"/>
          <w:szCs w:val="24"/>
        </w:rPr>
        <w:t>services</w:t>
      </w:r>
      <w:r w:rsidR="0080662D">
        <w:rPr>
          <w:rFonts w:cs="Times New Roman"/>
          <w:sz w:val="24"/>
          <w:szCs w:val="24"/>
        </w:rPr>
        <w:t xml:space="preserve">. Loss in funding </w:t>
      </w:r>
      <w:r w:rsidR="00D863BE" w:rsidRPr="00100E9E">
        <w:rPr>
          <w:rFonts w:cs="Times New Roman"/>
          <w:sz w:val="24"/>
          <w:szCs w:val="24"/>
        </w:rPr>
        <w:t xml:space="preserve">preceded </w:t>
      </w:r>
      <w:r w:rsidR="00BC5572" w:rsidRPr="00100E9E">
        <w:rPr>
          <w:rFonts w:cs="Times New Roman"/>
          <w:sz w:val="24"/>
          <w:szCs w:val="24"/>
        </w:rPr>
        <w:t xml:space="preserve">declines in implementation of community change. </w:t>
      </w:r>
    </w:p>
    <w:p w:rsidR="00003C93" w:rsidRPr="00100E9E" w:rsidRDefault="00195B2A" w:rsidP="007F12E7">
      <w:pPr>
        <w:pStyle w:val="ListParagraph"/>
        <w:numPr>
          <w:ilvl w:val="0"/>
          <w:numId w:val="13"/>
        </w:numPr>
        <w:spacing w:after="120"/>
        <w:contextualSpacing w:val="0"/>
        <w:rPr>
          <w:rFonts w:cs="Times New Roman"/>
          <w:sz w:val="24"/>
          <w:szCs w:val="24"/>
        </w:rPr>
      </w:pPr>
      <w:r w:rsidRPr="00100E9E">
        <w:rPr>
          <w:rFonts w:cs="Times New Roman"/>
          <w:sz w:val="24"/>
          <w:szCs w:val="24"/>
        </w:rPr>
        <w:t xml:space="preserve">WIOA Law </w:t>
      </w:r>
      <w:r w:rsidR="00D863BE" w:rsidRPr="00100E9E">
        <w:rPr>
          <w:rFonts w:cs="Times New Roman"/>
          <w:sz w:val="24"/>
          <w:szCs w:val="24"/>
        </w:rPr>
        <w:t>Enacted</w:t>
      </w:r>
    </w:p>
    <w:p w:rsidR="00D863BE" w:rsidRPr="00100E9E" w:rsidRDefault="001B2CFA" w:rsidP="007F12E7">
      <w:pPr>
        <w:pStyle w:val="ListParagraph"/>
        <w:spacing w:after="120"/>
        <w:contextualSpacing w:val="0"/>
        <w:rPr>
          <w:rFonts w:cs="Times New Roman"/>
          <w:sz w:val="24"/>
          <w:szCs w:val="24"/>
        </w:rPr>
      </w:pPr>
      <w:r w:rsidRPr="00100E9E">
        <w:rPr>
          <w:rFonts w:cs="Times New Roman"/>
          <w:sz w:val="24"/>
          <w:szCs w:val="24"/>
        </w:rPr>
        <w:t xml:space="preserve">The Workforce Innovation and Opportunity Act (WIOA) was enacted </w:t>
      </w:r>
      <w:r w:rsidR="00DE13CE" w:rsidRPr="00100E9E">
        <w:rPr>
          <w:rFonts w:cs="Times New Roman"/>
          <w:sz w:val="24"/>
          <w:szCs w:val="24"/>
        </w:rPr>
        <w:t xml:space="preserve">in </w:t>
      </w:r>
      <w:r w:rsidR="00F01D6B">
        <w:rPr>
          <w:rFonts w:cs="Times New Roman"/>
          <w:sz w:val="24"/>
          <w:szCs w:val="24"/>
        </w:rPr>
        <w:t xml:space="preserve">July </w:t>
      </w:r>
      <w:r w:rsidR="00DE13CE" w:rsidRPr="00100E9E">
        <w:rPr>
          <w:rFonts w:cs="Times New Roman"/>
          <w:sz w:val="24"/>
          <w:szCs w:val="24"/>
        </w:rPr>
        <w:t>2014</w:t>
      </w:r>
      <w:r w:rsidR="00F01D6B">
        <w:rPr>
          <w:rFonts w:cs="Times New Roman"/>
          <w:sz w:val="24"/>
          <w:szCs w:val="24"/>
        </w:rPr>
        <w:t>, with requirements for implementation taking place in July 2015</w:t>
      </w:r>
      <w:r w:rsidR="00BC5572" w:rsidRPr="00100E9E">
        <w:rPr>
          <w:rFonts w:cs="Times New Roman"/>
          <w:sz w:val="24"/>
          <w:szCs w:val="24"/>
        </w:rPr>
        <w:t xml:space="preserve">. </w:t>
      </w:r>
      <w:r w:rsidR="00F01D6B">
        <w:rPr>
          <w:rFonts w:cs="Times New Roman"/>
          <w:sz w:val="24"/>
          <w:szCs w:val="24"/>
        </w:rPr>
        <w:t>WIOA transferred</w:t>
      </w:r>
      <w:r w:rsidR="004B7A4E">
        <w:rPr>
          <w:rFonts w:cs="Times New Roman"/>
          <w:sz w:val="24"/>
          <w:szCs w:val="24"/>
        </w:rPr>
        <w:t xml:space="preserve"> independent living programs from the </w:t>
      </w:r>
      <w:r w:rsidR="0020001E">
        <w:rPr>
          <w:rFonts w:cs="Times New Roman"/>
          <w:sz w:val="24"/>
          <w:szCs w:val="24"/>
        </w:rPr>
        <w:t>Department of Education</w:t>
      </w:r>
      <w:r w:rsidR="004B7A4E">
        <w:rPr>
          <w:rFonts w:cs="Times New Roman"/>
          <w:sz w:val="24"/>
          <w:szCs w:val="24"/>
        </w:rPr>
        <w:t xml:space="preserve"> to the Administration for Community Living within the Department of Health and Human Services.</w:t>
      </w:r>
      <w:r w:rsidR="00F01D6B">
        <w:rPr>
          <w:rFonts w:cs="Times New Roman"/>
          <w:sz w:val="24"/>
          <w:szCs w:val="24"/>
        </w:rPr>
        <w:t xml:space="preserve"> </w:t>
      </w:r>
      <w:r w:rsidR="007850CE">
        <w:rPr>
          <w:rFonts w:cs="Times New Roman"/>
          <w:sz w:val="24"/>
          <w:szCs w:val="24"/>
        </w:rPr>
        <w:t xml:space="preserve">The enactment of </w:t>
      </w:r>
      <w:r w:rsidR="00DE13CE" w:rsidRPr="00100E9E">
        <w:rPr>
          <w:rFonts w:cs="Times New Roman"/>
          <w:sz w:val="24"/>
          <w:szCs w:val="24"/>
        </w:rPr>
        <w:t xml:space="preserve">WIOA </w:t>
      </w:r>
      <w:r w:rsidR="007850CE">
        <w:rPr>
          <w:rFonts w:cs="Times New Roman"/>
          <w:sz w:val="24"/>
          <w:szCs w:val="24"/>
        </w:rPr>
        <w:t>led to some</w:t>
      </w:r>
      <w:r w:rsidR="006B113C" w:rsidRPr="00100E9E">
        <w:rPr>
          <w:rFonts w:cs="Times New Roman"/>
          <w:sz w:val="24"/>
          <w:szCs w:val="24"/>
        </w:rPr>
        <w:t xml:space="preserve"> </w:t>
      </w:r>
      <w:r w:rsidR="007850CE">
        <w:rPr>
          <w:rFonts w:cs="Times New Roman"/>
          <w:sz w:val="24"/>
          <w:szCs w:val="24"/>
        </w:rPr>
        <w:t>CILs increasing community changes, including by</w:t>
      </w:r>
      <w:r w:rsidR="008D64D2">
        <w:rPr>
          <w:rFonts w:cs="Times New Roman"/>
          <w:sz w:val="24"/>
          <w:szCs w:val="24"/>
        </w:rPr>
        <w:t xml:space="preserve"> </w:t>
      </w:r>
      <w:r w:rsidR="007850CE">
        <w:rPr>
          <w:rFonts w:cs="Times New Roman"/>
          <w:sz w:val="24"/>
          <w:szCs w:val="24"/>
        </w:rPr>
        <w:t>promoting</w:t>
      </w:r>
      <w:r w:rsidR="008D64D2">
        <w:rPr>
          <w:rFonts w:cs="Times New Roman"/>
          <w:sz w:val="24"/>
          <w:szCs w:val="24"/>
        </w:rPr>
        <w:t xml:space="preserve"> voting registration efforts and disability awareness events in schools and the community</w:t>
      </w:r>
      <w:r w:rsidR="00891DD3" w:rsidRPr="00100E9E">
        <w:rPr>
          <w:rFonts w:cs="Times New Roman"/>
          <w:sz w:val="24"/>
          <w:szCs w:val="24"/>
        </w:rPr>
        <w:t>.</w:t>
      </w:r>
      <w:r w:rsidR="00BC5572" w:rsidRPr="00100E9E">
        <w:rPr>
          <w:rFonts w:cs="Times New Roman"/>
          <w:sz w:val="24"/>
          <w:szCs w:val="24"/>
        </w:rPr>
        <w:t xml:space="preserve"> </w:t>
      </w:r>
      <w:r w:rsidR="00875492" w:rsidRPr="00100E9E">
        <w:rPr>
          <w:rFonts w:cs="Times New Roman"/>
          <w:sz w:val="24"/>
          <w:szCs w:val="24"/>
        </w:rPr>
        <w:t>CILs are required to provide</w:t>
      </w:r>
      <w:r w:rsidR="00E07726" w:rsidRPr="00100E9E">
        <w:rPr>
          <w:rFonts w:cs="Times New Roman"/>
          <w:sz w:val="24"/>
          <w:szCs w:val="24"/>
        </w:rPr>
        <w:t xml:space="preserve"> </w:t>
      </w:r>
      <w:r w:rsidR="00597881">
        <w:rPr>
          <w:rFonts w:cs="Times New Roman"/>
          <w:sz w:val="24"/>
          <w:szCs w:val="24"/>
        </w:rPr>
        <w:t xml:space="preserve">transition services (both to youth transition and from those in institutions back to community </w:t>
      </w:r>
      <w:r w:rsidR="0034683D">
        <w:rPr>
          <w:rFonts w:cs="Times New Roman"/>
          <w:sz w:val="24"/>
          <w:szCs w:val="24"/>
        </w:rPr>
        <w:t>living).  This new core service</w:t>
      </w:r>
      <w:r w:rsidR="00597881">
        <w:rPr>
          <w:rFonts w:cs="Times New Roman"/>
          <w:sz w:val="24"/>
          <w:szCs w:val="24"/>
        </w:rPr>
        <w:t xml:space="preserve"> is required but not yet funded. </w:t>
      </w:r>
    </w:p>
    <w:p w:rsidR="006D0EE8" w:rsidRPr="00100E9E" w:rsidRDefault="00D863BE" w:rsidP="007F12E7">
      <w:pPr>
        <w:pStyle w:val="ListParagraph"/>
        <w:numPr>
          <w:ilvl w:val="0"/>
          <w:numId w:val="13"/>
        </w:numPr>
        <w:spacing w:after="120"/>
        <w:contextualSpacing w:val="0"/>
        <w:rPr>
          <w:rFonts w:cs="Times New Roman"/>
          <w:sz w:val="24"/>
          <w:szCs w:val="24"/>
        </w:rPr>
      </w:pPr>
      <w:r w:rsidRPr="00100E9E">
        <w:rPr>
          <w:rFonts w:cs="Times New Roman"/>
          <w:sz w:val="24"/>
          <w:szCs w:val="24"/>
        </w:rPr>
        <w:t>F</w:t>
      </w:r>
      <w:r w:rsidR="003F2135" w:rsidRPr="00100E9E">
        <w:rPr>
          <w:rFonts w:cs="Times New Roman"/>
          <w:sz w:val="24"/>
          <w:szCs w:val="24"/>
        </w:rPr>
        <w:t>unding</w:t>
      </w:r>
    </w:p>
    <w:p w:rsidR="00D863BE" w:rsidRPr="00100E9E" w:rsidRDefault="00BC5572" w:rsidP="007F12E7">
      <w:pPr>
        <w:pStyle w:val="ListParagraph"/>
        <w:spacing w:after="120"/>
        <w:contextualSpacing w:val="0"/>
        <w:rPr>
          <w:rFonts w:cs="Times New Roman"/>
          <w:sz w:val="24"/>
          <w:szCs w:val="24"/>
        </w:rPr>
      </w:pPr>
      <w:r w:rsidRPr="00100E9E">
        <w:rPr>
          <w:rFonts w:cs="Times New Roman"/>
          <w:sz w:val="24"/>
          <w:szCs w:val="24"/>
        </w:rPr>
        <w:t xml:space="preserve">Funding influenced CIL capacity for community change directly and indirectly.  </w:t>
      </w:r>
      <w:r w:rsidR="001C6DDA" w:rsidRPr="00100E9E">
        <w:rPr>
          <w:rFonts w:cs="Times New Roman"/>
          <w:sz w:val="24"/>
          <w:szCs w:val="24"/>
        </w:rPr>
        <w:t>Loss of funding wa</w:t>
      </w:r>
      <w:r w:rsidRPr="00100E9E">
        <w:rPr>
          <w:rFonts w:cs="Times New Roman"/>
          <w:sz w:val="24"/>
          <w:szCs w:val="24"/>
        </w:rPr>
        <w:t>s a huge challenge. However,</w:t>
      </w:r>
      <w:r w:rsidR="001C6DDA" w:rsidRPr="00100E9E">
        <w:rPr>
          <w:rFonts w:cs="Times New Roman"/>
          <w:sz w:val="24"/>
          <w:szCs w:val="24"/>
        </w:rPr>
        <w:t xml:space="preserve"> when CILs obtained grants and other sources of funding, even small grants, they were able to bring about more community change. </w:t>
      </w:r>
      <w:r w:rsidR="000A6595" w:rsidRPr="00100E9E">
        <w:rPr>
          <w:rFonts w:cs="Times New Roman"/>
          <w:sz w:val="24"/>
          <w:szCs w:val="24"/>
        </w:rPr>
        <w:t xml:space="preserve">Some states </w:t>
      </w:r>
      <w:r w:rsidRPr="00100E9E">
        <w:rPr>
          <w:rFonts w:cs="Times New Roman"/>
          <w:sz w:val="24"/>
          <w:szCs w:val="24"/>
        </w:rPr>
        <w:t xml:space="preserve">even </w:t>
      </w:r>
      <w:r w:rsidR="000A6595" w:rsidRPr="00100E9E">
        <w:rPr>
          <w:rFonts w:cs="Times New Roman"/>
          <w:sz w:val="24"/>
          <w:szCs w:val="24"/>
        </w:rPr>
        <w:t>restricted CILs efforts</w:t>
      </w:r>
      <w:r w:rsidRPr="00100E9E">
        <w:rPr>
          <w:rFonts w:cs="Times New Roman"/>
          <w:sz w:val="24"/>
          <w:szCs w:val="24"/>
        </w:rPr>
        <w:t xml:space="preserve"> to seek new or more funding</w:t>
      </w:r>
      <w:r w:rsidR="000A6595" w:rsidRPr="00100E9E">
        <w:rPr>
          <w:rFonts w:cs="Times New Roman"/>
          <w:sz w:val="24"/>
          <w:szCs w:val="24"/>
        </w:rPr>
        <w:t xml:space="preserve">. </w:t>
      </w:r>
      <w:r w:rsidRPr="00100E9E">
        <w:rPr>
          <w:rFonts w:cs="Times New Roman"/>
          <w:sz w:val="24"/>
          <w:szCs w:val="24"/>
        </w:rPr>
        <w:t>Over time, CILs obtained s</w:t>
      </w:r>
      <w:r w:rsidR="000A6595" w:rsidRPr="00100E9E">
        <w:rPr>
          <w:rFonts w:cs="Times New Roman"/>
          <w:sz w:val="24"/>
          <w:szCs w:val="24"/>
        </w:rPr>
        <w:t>ome new contracts</w:t>
      </w:r>
      <w:r w:rsidRPr="00100E9E">
        <w:rPr>
          <w:rFonts w:cs="Times New Roman"/>
          <w:sz w:val="24"/>
          <w:szCs w:val="24"/>
        </w:rPr>
        <w:t xml:space="preserve"> and grants</w:t>
      </w:r>
      <w:r w:rsidR="000A6595" w:rsidRPr="00100E9E">
        <w:rPr>
          <w:rFonts w:cs="Times New Roman"/>
          <w:sz w:val="24"/>
          <w:szCs w:val="24"/>
        </w:rPr>
        <w:t xml:space="preserve">, but </w:t>
      </w:r>
      <w:r w:rsidRPr="00100E9E">
        <w:rPr>
          <w:rFonts w:cs="Times New Roman"/>
          <w:sz w:val="24"/>
          <w:szCs w:val="24"/>
        </w:rPr>
        <w:t xml:space="preserve">were </w:t>
      </w:r>
      <w:r w:rsidR="000A6595" w:rsidRPr="00100E9E">
        <w:rPr>
          <w:rFonts w:cs="Times New Roman"/>
          <w:sz w:val="24"/>
          <w:szCs w:val="24"/>
        </w:rPr>
        <w:t>overwhelmed by other losses.</w:t>
      </w:r>
    </w:p>
    <w:p w:rsidR="00195B2A" w:rsidRPr="00100E9E" w:rsidRDefault="00195B2A" w:rsidP="007F12E7">
      <w:pPr>
        <w:pStyle w:val="ListParagraph"/>
        <w:numPr>
          <w:ilvl w:val="0"/>
          <w:numId w:val="13"/>
        </w:numPr>
        <w:spacing w:after="120"/>
        <w:contextualSpacing w:val="0"/>
        <w:rPr>
          <w:rFonts w:cs="Times New Roman"/>
          <w:sz w:val="24"/>
          <w:szCs w:val="24"/>
        </w:rPr>
      </w:pPr>
      <w:r w:rsidRPr="00100E9E">
        <w:rPr>
          <w:rFonts w:cs="Times New Roman"/>
          <w:sz w:val="24"/>
          <w:szCs w:val="24"/>
        </w:rPr>
        <w:t>New initiativ</w:t>
      </w:r>
      <w:r w:rsidR="00BC5572" w:rsidRPr="00100E9E">
        <w:rPr>
          <w:rFonts w:cs="Times New Roman"/>
          <w:sz w:val="24"/>
          <w:szCs w:val="24"/>
        </w:rPr>
        <w:t>es or expanded services area</w:t>
      </w:r>
    </w:p>
    <w:p w:rsidR="00195B2A" w:rsidRPr="00100E9E" w:rsidRDefault="00BC5572" w:rsidP="007F12E7">
      <w:pPr>
        <w:pStyle w:val="ListParagraph"/>
        <w:spacing w:after="120"/>
        <w:contextualSpacing w:val="0"/>
        <w:rPr>
          <w:rFonts w:cs="Times New Roman"/>
          <w:sz w:val="24"/>
          <w:szCs w:val="24"/>
        </w:rPr>
      </w:pPr>
      <w:r w:rsidRPr="00100E9E">
        <w:rPr>
          <w:rFonts w:cs="Times New Roman"/>
          <w:sz w:val="24"/>
          <w:szCs w:val="24"/>
        </w:rPr>
        <w:t>Some small new grants expanded CIL serv</w:t>
      </w:r>
      <w:r w:rsidR="00137718" w:rsidRPr="00100E9E">
        <w:rPr>
          <w:rFonts w:cs="Times New Roman"/>
          <w:sz w:val="24"/>
          <w:szCs w:val="24"/>
        </w:rPr>
        <w:t>ices in new areas</w:t>
      </w:r>
      <w:r w:rsidR="00FB2E65">
        <w:rPr>
          <w:rFonts w:cs="Times New Roman"/>
          <w:sz w:val="24"/>
          <w:szCs w:val="24"/>
        </w:rPr>
        <w:t>. H</w:t>
      </w:r>
      <w:r w:rsidR="00137718" w:rsidRPr="00100E9E">
        <w:rPr>
          <w:rFonts w:cs="Times New Roman"/>
          <w:sz w:val="24"/>
          <w:szCs w:val="24"/>
        </w:rPr>
        <w:t>owever, i</w:t>
      </w:r>
      <w:r w:rsidR="000E3A59" w:rsidRPr="00100E9E">
        <w:rPr>
          <w:rFonts w:cs="Times New Roman"/>
          <w:sz w:val="24"/>
          <w:szCs w:val="24"/>
        </w:rPr>
        <w:t xml:space="preserve">ncreased geographic coverage </w:t>
      </w:r>
      <w:r w:rsidR="00137718" w:rsidRPr="00100E9E">
        <w:rPr>
          <w:rFonts w:cs="Times New Roman"/>
          <w:sz w:val="24"/>
          <w:szCs w:val="24"/>
        </w:rPr>
        <w:t xml:space="preserve">often </w:t>
      </w:r>
      <w:r w:rsidR="000E3A59" w:rsidRPr="00100E9E">
        <w:rPr>
          <w:rFonts w:cs="Times New Roman"/>
          <w:sz w:val="24"/>
          <w:szCs w:val="24"/>
        </w:rPr>
        <w:t>stretched staff</w:t>
      </w:r>
      <w:r w:rsidR="00276110">
        <w:rPr>
          <w:rFonts w:cs="Times New Roman"/>
          <w:sz w:val="24"/>
          <w:szCs w:val="24"/>
        </w:rPr>
        <w:t xml:space="preserve"> because the increase in funding was not proportional to the increase in responsibility for </w:t>
      </w:r>
      <w:r w:rsidR="00FB2E65">
        <w:rPr>
          <w:rFonts w:cs="Times New Roman"/>
          <w:sz w:val="24"/>
          <w:szCs w:val="24"/>
        </w:rPr>
        <w:t>a larger</w:t>
      </w:r>
      <w:r w:rsidR="00276110">
        <w:rPr>
          <w:rFonts w:cs="Times New Roman"/>
          <w:sz w:val="24"/>
          <w:szCs w:val="24"/>
        </w:rPr>
        <w:t xml:space="preserve"> service area</w:t>
      </w:r>
      <w:r w:rsidR="000E3A59" w:rsidRPr="00100E9E">
        <w:rPr>
          <w:rFonts w:cs="Times New Roman"/>
          <w:sz w:val="24"/>
          <w:szCs w:val="24"/>
        </w:rPr>
        <w:t xml:space="preserve">. </w:t>
      </w:r>
      <w:r w:rsidR="00E91A59" w:rsidRPr="00100E9E">
        <w:rPr>
          <w:rFonts w:cs="Times New Roman"/>
          <w:sz w:val="24"/>
          <w:szCs w:val="24"/>
        </w:rPr>
        <w:t>Especially among rural CILs, limited staff cover</w:t>
      </w:r>
      <w:r w:rsidR="008C634E">
        <w:rPr>
          <w:rFonts w:cs="Times New Roman"/>
          <w:sz w:val="24"/>
          <w:szCs w:val="24"/>
        </w:rPr>
        <w:t>ing</w:t>
      </w:r>
      <w:r w:rsidR="00E91A59" w:rsidRPr="00100E9E">
        <w:rPr>
          <w:rFonts w:cs="Times New Roman"/>
          <w:sz w:val="24"/>
          <w:szCs w:val="24"/>
        </w:rPr>
        <w:t xml:space="preserve"> expansive geographic areas </w:t>
      </w:r>
      <w:r w:rsidR="008C634E">
        <w:rPr>
          <w:rFonts w:cs="Times New Roman"/>
          <w:sz w:val="24"/>
          <w:szCs w:val="24"/>
        </w:rPr>
        <w:t>is challenging and l</w:t>
      </w:r>
      <w:r w:rsidR="00E91A59" w:rsidRPr="00100E9E">
        <w:rPr>
          <w:rFonts w:cs="Times New Roman"/>
          <w:sz w:val="24"/>
          <w:szCs w:val="24"/>
        </w:rPr>
        <w:t xml:space="preserve">imits </w:t>
      </w:r>
      <w:r w:rsidR="008C634E">
        <w:rPr>
          <w:rFonts w:cs="Times New Roman"/>
          <w:sz w:val="24"/>
          <w:szCs w:val="24"/>
        </w:rPr>
        <w:t>time for engaging in community action.</w:t>
      </w:r>
    </w:p>
    <w:p w:rsidR="00195B2A" w:rsidRPr="00100E9E" w:rsidRDefault="00BC5572" w:rsidP="007F12E7">
      <w:pPr>
        <w:pStyle w:val="ListParagraph"/>
        <w:numPr>
          <w:ilvl w:val="0"/>
          <w:numId w:val="13"/>
        </w:numPr>
        <w:spacing w:after="120"/>
        <w:contextualSpacing w:val="0"/>
        <w:rPr>
          <w:rFonts w:cs="Times New Roman"/>
          <w:sz w:val="24"/>
          <w:szCs w:val="24"/>
        </w:rPr>
      </w:pPr>
      <w:r w:rsidRPr="00100E9E">
        <w:rPr>
          <w:rFonts w:cs="Times New Roman"/>
          <w:sz w:val="24"/>
          <w:szCs w:val="24"/>
        </w:rPr>
        <w:t>Organizational changes</w:t>
      </w:r>
    </w:p>
    <w:p w:rsidR="00D54BF4" w:rsidRPr="00100E9E" w:rsidRDefault="002C1319" w:rsidP="007F12E7">
      <w:pPr>
        <w:pStyle w:val="ListParagraph"/>
        <w:spacing w:after="120"/>
        <w:contextualSpacing w:val="0"/>
        <w:rPr>
          <w:rFonts w:cs="Times New Roman"/>
          <w:sz w:val="24"/>
          <w:szCs w:val="24"/>
        </w:rPr>
      </w:pPr>
      <w:r w:rsidRPr="00100E9E">
        <w:rPr>
          <w:rFonts w:cs="Times New Roman"/>
          <w:sz w:val="24"/>
          <w:szCs w:val="24"/>
        </w:rPr>
        <w:t>S</w:t>
      </w:r>
      <w:r w:rsidR="00D54BF4" w:rsidRPr="00100E9E">
        <w:rPr>
          <w:rFonts w:cs="Times New Roman"/>
          <w:sz w:val="24"/>
          <w:szCs w:val="24"/>
        </w:rPr>
        <w:t xml:space="preserve">ignificant organizational changes </w:t>
      </w:r>
      <w:r w:rsidR="00BC5572" w:rsidRPr="00100E9E">
        <w:rPr>
          <w:rFonts w:cs="Times New Roman"/>
          <w:sz w:val="24"/>
          <w:szCs w:val="24"/>
        </w:rPr>
        <w:t xml:space="preserve">were taking place in </w:t>
      </w:r>
      <w:r w:rsidRPr="00100E9E">
        <w:rPr>
          <w:rFonts w:cs="Times New Roman"/>
          <w:sz w:val="24"/>
          <w:szCs w:val="24"/>
        </w:rPr>
        <w:t xml:space="preserve">some </w:t>
      </w:r>
      <w:r w:rsidR="00BC5572" w:rsidRPr="00100E9E">
        <w:rPr>
          <w:rFonts w:cs="Times New Roman"/>
          <w:sz w:val="24"/>
          <w:szCs w:val="24"/>
        </w:rPr>
        <w:t xml:space="preserve">of the </w:t>
      </w:r>
      <w:r w:rsidRPr="00100E9E">
        <w:rPr>
          <w:rFonts w:cs="Times New Roman"/>
          <w:sz w:val="24"/>
          <w:szCs w:val="24"/>
        </w:rPr>
        <w:t>CIL</w:t>
      </w:r>
      <w:r w:rsidR="00964F60" w:rsidRPr="00100E9E">
        <w:rPr>
          <w:rFonts w:cs="Times New Roman"/>
          <w:sz w:val="24"/>
          <w:szCs w:val="24"/>
        </w:rPr>
        <w:t>s</w:t>
      </w:r>
      <w:r w:rsidRPr="00100E9E">
        <w:rPr>
          <w:rFonts w:cs="Times New Roman"/>
          <w:sz w:val="24"/>
          <w:szCs w:val="24"/>
        </w:rPr>
        <w:t xml:space="preserve"> </w:t>
      </w:r>
      <w:r w:rsidR="00964F60" w:rsidRPr="00100E9E">
        <w:rPr>
          <w:rFonts w:cs="Times New Roman"/>
          <w:sz w:val="24"/>
          <w:szCs w:val="24"/>
        </w:rPr>
        <w:t>when the project started. For example, c</w:t>
      </w:r>
      <w:r w:rsidR="00D54BF4" w:rsidRPr="00100E9E">
        <w:rPr>
          <w:rFonts w:cs="Times New Roman"/>
          <w:sz w:val="24"/>
          <w:szCs w:val="24"/>
        </w:rPr>
        <w:t xml:space="preserve">onsolidation of facilities and </w:t>
      </w:r>
      <w:r w:rsidRPr="00100E9E">
        <w:rPr>
          <w:rFonts w:cs="Times New Roman"/>
          <w:sz w:val="24"/>
          <w:szCs w:val="24"/>
        </w:rPr>
        <w:t xml:space="preserve">sites due to </w:t>
      </w:r>
      <w:r w:rsidR="00D54BF4" w:rsidRPr="00100E9E">
        <w:rPr>
          <w:rFonts w:cs="Times New Roman"/>
          <w:sz w:val="24"/>
          <w:szCs w:val="24"/>
        </w:rPr>
        <w:t>challenges in sustaining for</w:t>
      </w:r>
      <w:r w:rsidR="008428CB" w:rsidRPr="00100E9E">
        <w:rPr>
          <w:rFonts w:cs="Times New Roman"/>
          <w:sz w:val="24"/>
          <w:szCs w:val="24"/>
        </w:rPr>
        <w:t>mer levels of services in multiple sites</w:t>
      </w:r>
      <w:r w:rsidR="00964F60" w:rsidRPr="00100E9E">
        <w:rPr>
          <w:rFonts w:cs="Times New Roman"/>
          <w:sz w:val="24"/>
          <w:szCs w:val="24"/>
        </w:rPr>
        <w:t>. O</w:t>
      </w:r>
      <w:r w:rsidR="00BC5572" w:rsidRPr="00100E9E">
        <w:rPr>
          <w:rFonts w:cs="Times New Roman"/>
          <w:sz w:val="24"/>
          <w:szCs w:val="24"/>
        </w:rPr>
        <w:t xml:space="preserve">rganizational structure may also have influenced community action. </w:t>
      </w:r>
      <w:r w:rsidR="00964F60" w:rsidRPr="00100E9E">
        <w:rPr>
          <w:rFonts w:cs="Times New Roman"/>
          <w:sz w:val="24"/>
          <w:szCs w:val="24"/>
        </w:rPr>
        <w:t>In some CILs a collaborative staff structure</w:t>
      </w:r>
      <w:r w:rsidR="00510DE7" w:rsidRPr="00100E9E">
        <w:rPr>
          <w:rFonts w:cs="Times New Roman"/>
          <w:sz w:val="24"/>
          <w:szCs w:val="24"/>
        </w:rPr>
        <w:t xml:space="preserve"> </w:t>
      </w:r>
      <w:r w:rsidR="00964F60" w:rsidRPr="00100E9E">
        <w:rPr>
          <w:rFonts w:cs="Times New Roman"/>
          <w:sz w:val="24"/>
          <w:szCs w:val="24"/>
        </w:rPr>
        <w:t>lent</w:t>
      </w:r>
      <w:r w:rsidR="00914291" w:rsidRPr="00100E9E">
        <w:rPr>
          <w:rFonts w:cs="Times New Roman"/>
          <w:sz w:val="24"/>
          <w:szCs w:val="24"/>
        </w:rPr>
        <w:t xml:space="preserve"> itself to more efficient service provision. </w:t>
      </w:r>
      <w:r w:rsidR="00BC5572" w:rsidRPr="00100E9E">
        <w:rPr>
          <w:rFonts w:cs="Times New Roman"/>
          <w:sz w:val="24"/>
          <w:szCs w:val="24"/>
        </w:rPr>
        <w:t xml:space="preserve">Others set goals </w:t>
      </w:r>
      <w:r w:rsidR="00E91A59" w:rsidRPr="00100E9E">
        <w:rPr>
          <w:rFonts w:cs="Times New Roman"/>
          <w:sz w:val="24"/>
          <w:szCs w:val="24"/>
        </w:rPr>
        <w:t>to raise awareness of services and</w:t>
      </w:r>
      <w:r w:rsidR="00BC5572" w:rsidRPr="00100E9E">
        <w:rPr>
          <w:rFonts w:cs="Times New Roman"/>
          <w:sz w:val="24"/>
          <w:szCs w:val="24"/>
        </w:rPr>
        <w:t xml:space="preserve"> mobilize consumers. </w:t>
      </w:r>
      <w:r w:rsidR="00964F60" w:rsidRPr="00100E9E">
        <w:rPr>
          <w:rFonts w:cs="Times New Roman"/>
          <w:sz w:val="24"/>
          <w:szCs w:val="24"/>
        </w:rPr>
        <w:t xml:space="preserve">CIL </w:t>
      </w:r>
      <w:r w:rsidR="00137718" w:rsidRPr="00100E9E">
        <w:rPr>
          <w:rFonts w:cs="Times New Roman"/>
          <w:sz w:val="24"/>
          <w:szCs w:val="24"/>
        </w:rPr>
        <w:t>involve</w:t>
      </w:r>
      <w:r w:rsidR="00964F60" w:rsidRPr="00100E9E">
        <w:rPr>
          <w:rFonts w:cs="Times New Roman"/>
          <w:sz w:val="24"/>
          <w:szCs w:val="24"/>
        </w:rPr>
        <w:t>ment</w:t>
      </w:r>
      <w:r w:rsidR="00BE2845">
        <w:rPr>
          <w:rFonts w:cs="Times New Roman"/>
          <w:sz w:val="24"/>
          <w:szCs w:val="24"/>
        </w:rPr>
        <w:t xml:space="preserve"> in community-level sector-</w:t>
      </w:r>
      <w:r w:rsidR="00137718" w:rsidRPr="00100E9E">
        <w:rPr>
          <w:rFonts w:cs="Times New Roman"/>
          <w:sz w:val="24"/>
          <w:szCs w:val="24"/>
        </w:rPr>
        <w:t>specific working and planning committees extend</w:t>
      </w:r>
      <w:r w:rsidR="00964F60" w:rsidRPr="00100E9E">
        <w:rPr>
          <w:rFonts w:cs="Times New Roman"/>
          <w:sz w:val="24"/>
          <w:szCs w:val="24"/>
        </w:rPr>
        <w:t>ed</w:t>
      </w:r>
      <w:r w:rsidR="00137718" w:rsidRPr="00100E9E">
        <w:rPr>
          <w:rFonts w:cs="Times New Roman"/>
          <w:sz w:val="24"/>
          <w:szCs w:val="24"/>
        </w:rPr>
        <w:t xml:space="preserve"> the</w:t>
      </w:r>
      <w:r w:rsidR="00964F60" w:rsidRPr="00100E9E">
        <w:rPr>
          <w:rFonts w:cs="Times New Roman"/>
          <w:sz w:val="24"/>
          <w:szCs w:val="24"/>
        </w:rPr>
        <w:t>ir</w:t>
      </w:r>
      <w:r w:rsidR="00137718" w:rsidRPr="00100E9E">
        <w:rPr>
          <w:rFonts w:cs="Times New Roman"/>
          <w:sz w:val="24"/>
          <w:szCs w:val="24"/>
        </w:rPr>
        <w:t xml:space="preserve"> reach and influence</w:t>
      </w:r>
      <w:r w:rsidR="00964F60" w:rsidRPr="00100E9E">
        <w:rPr>
          <w:rFonts w:cs="Times New Roman"/>
          <w:sz w:val="24"/>
          <w:szCs w:val="24"/>
        </w:rPr>
        <w:t xml:space="preserve"> in the community</w:t>
      </w:r>
      <w:r w:rsidR="00137718" w:rsidRPr="007850CE">
        <w:rPr>
          <w:rFonts w:cs="Times New Roman"/>
          <w:sz w:val="24"/>
          <w:szCs w:val="24"/>
        </w:rPr>
        <w:t xml:space="preserve">. </w:t>
      </w:r>
      <w:r w:rsidR="008428CB" w:rsidRPr="007850CE">
        <w:rPr>
          <w:rFonts w:cs="Times New Roman"/>
          <w:sz w:val="24"/>
          <w:szCs w:val="24"/>
        </w:rPr>
        <w:t xml:space="preserve">Some CILs had the </w:t>
      </w:r>
      <w:r w:rsidR="00964F60" w:rsidRPr="007850CE">
        <w:rPr>
          <w:rFonts w:cs="Times New Roman"/>
          <w:sz w:val="24"/>
          <w:szCs w:val="24"/>
        </w:rPr>
        <w:t xml:space="preserve">potential </w:t>
      </w:r>
      <w:r w:rsidR="008428CB" w:rsidRPr="007850CE">
        <w:rPr>
          <w:rFonts w:cs="Times New Roman"/>
          <w:sz w:val="24"/>
          <w:szCs w:val="24"/>
        </w:rPr>
        <w:t xml:space="preserve">capacity to </w:t>
      </w:r>
      <w:r w:rsidR="00964F60" w:rsidRPr="007850CE">
        <w:rPr>
          <w:rFonts w:cs="Times New Roman"/>
          <w:sz w:val="24"/>
          <w:szCs w:val="24"/>
        </w:rPr>
        <w:t>implement</w:t>
      </w:r>
      <w:r w:rsidR="008428CB" w:rsidRPr="007850CE">
        <w:rPr>
          <w:rFonts w:cs="Times New Roman"/>
          <w:sz w:val="24"/>
          <w:szCs w:val="24"/>
        </w:rPr>
        <w:t xml:space="preserve"> more community change.</w:t>
      </w:r>
      <w:r w:rsidR="00157147" w:rsidRPr="007850CE">
        <w:rPr>
          <w:rFonts w:cs="Times New Roman"/>
          <w:sz w:val="24"/>
          <w:szCs w:val="24"/>
        </w:rPr>
        <w:t xml:space="preserve"> However, time spent on community change competes with time spent on </w:t>
      </w:r>
      <w:r w:rsidR="00C146D3" w:rsidRPr="007850CE">
        <w:rPr>
          <w:rFonts w:cs="Times New Roman"/>
          <w:sz w:val="24"/>
          <w:szCs w:val="24"/>
        </w:rPr>
        <w:t xml:space="preserve">incentivized </w:t>
      </w:r>
      <w:r w:rsidR="00157147" w:rsidRPr="007850CE">
        <w:rPr>
          <w:rFonts w:cs="Times New Roman"/>
          <w:sz w:val="24"/>
          <w:szCs w:val="24"/>
        </w:rPr>
        <w:t>direct services, resulting in</w:t>
      </w:r>
      <w:r w:rsidR="008428CB" w:rsidRPr="007850CE">
        <w:rPr>
          <w:rFonts w:cs="Times New Roman"/>
          <w:sz w:val="24"/>
          <w:szCs w:val="24"/>
        </w:rPr>
        <w:t xml:space="preserve"> a</w:t>
      </w:r>
      <w:r w:rsidR="00157147" w:rsidRPr="007850CE">
        <w:rPr>
          <w:rFonts w:cs="Times New Roman"/>
          <w:sz w:val="24"/>
          <w:szCs w:val="24"/>
        </w:rPr>
        <w:t xml:space="preserve"> more</w:t>
      </w:r>
      <w:r w:rsidR="008428CB" w:rsidRPr="007850CE">
        <w:rPr>
          <w:rFonts w:cs="Times New Roman"/>
          <w:sz w:val="24"/>
          <w:szCs w:val="24"/>
        </w:rPr>
        <w:t xml:space="preserve"> limited </w:t>
      </w:r>
      <w:r w:rsidR="00964F60" w:rsidRPr="007850CE">
        <w:rPr>
          <w:rFonts w:cs="Times New Roman"/>
          <w:sz w:val="24"/>
          <w:szCs w:val="24"/>
        </w:rPr>
        <w:t>focus on</w:t>
      </w:r>
      <w:r w:rsidR="008428CB" w:rsidRPr="007850CE">
        <w:rPr>
          <w:rFonts w:cs="Times New Roman"/>
          <w:sz w:val="24"/>
          <w:szCs w:val="24"/>
        </w:rPr>
        <w:t xml:space="preserve"> </w:t>
      </w:r>
      <w:r w:rsidR="00510DE7" w:rsidRPr="007850CE">
        <w:rPr>
          <w:rFonts w:cs="Times New Roman"/>
          <w:sz w:val="24"/>
          <w:szCs w:val="24"/>
        </w:rPr>
        <w:t>community mobilization and change</w:t>
      </w:r>
      <w:r w:rsidR="008428CB" w:rsidRPr="007850CE">
        <w:rPr>
          <w:rFonts w:cs="Times New Roman"/>
          <w:sz w:val="24"/>
          <w:szCs w:val="24"/>
        </w:rPr>
        <w:t>.</w:t>
      </w:r>
      <w:r w:rsidR="00510DE7" w:rsidRPr="00100E9E">
        <w:rPr>
          <w:rFonts w:cs="Times New Roman"/>
          <w:sz w:val="24"/>
          <w:szCs w:val="24"/>
        </w:rPr>
        <w:t xml:space="preserve"> </w:t>
      </w:r>
    </w:p>
    <w:p w:rsidR="00C146D3" w:rsidRPr="00100E9E" w:rsidRDefault="00C146D3" w:rsidP="00C146D3">
      <w:pPr>
        <w:spacing w:after="120"/>
        <w:rPr>
          <w:rFonts w:cs="Times New Roman"/>
          <w:sz w:val="24"/>
          <w:szCs w:val="24"/>
          <w:u w:val="single"/>
        </w:rPr>
      </w:pPr>
      <w:r>
        <w:rPr>
          <w:rFonts w:cs="Times New Roman"/>
          <w:sz w:val="24"/>
          <w:szCs w:val="24"/>
          <w:u w:val="single"/>
        </w:rPr>
        <w:t>Lessons learned:</w:t>
      </w:r>
    </w:p>
    <w:p w:rsidR="00152A2E" w:rsidRDefault="00AB212A" w:rsidP="007F12E7">
      <w:pPr>
        <w:spacing w:after="120"/>
        <w:rPr>
          <w:sz w:val="24"/>
        </w:rPr>
      </w:pPr>
      <w:r>
        <w:rPr>
          <w:sz w:val="24"/>
        </w:rPr>
        <w:lastRenderedPageBreak/>
        <w:t>The lessons learned from the Building Capacity for Full Community Participation Project are compiled from qualitative follow-up interviews with participating C</w:t>
      </w:r>
      <w:r w:rsidR="00757EF2">
        <w:rPr>
          <w:sz w:val="24"/>
        </w:rPr>
        <w:t>ILs</w:t>
      </w:r>
      <w:r>
        <w:rPr>
          <w:sz w:val="24"/>
        </w:rPr>
        <w:t xml:space="preserve"> during the project. </w:t>
      </w:r>
      <w:r w:rsidR="00152A2E">
        <w:rPr>
          <w:sz w:val="24"/>
        </w:rPr>
        <w:t xml:space="preserve">The purpose of the lessons learned for the </w:t>
      </w:r>
      <w:r>
        <w:rPr>
          <w:sz w:val="24"/>
        </w:rPr>
        <w:t xml:space="preserve">Building Capacity for Full Community Participation Project </w:t>
      </w:r>
      <w:r w:rsidR="00152A2E">
        <w:rPr>
          <w:sz w:val="24"/>
        </w:rPr>
        <w:t xml:space="preserve">is to </w:t>
      </w:r>
      <w:r>
        <w:rPr>
          <w:sz w:val="24"/>
        </w:rPr>
        <w:t>provide them for</w:t>
      </w:r>
      <w:r w:rsidR="00152A2E">
        <w:rPr>
          <w:sz w:val="24"/>
        </w:rPr>
        <w:t xml:space="preserve"> use by other </w:t>
      </w:r>
      <w:r>
        <w:rPr>
          <w:sz w:val="24"/>
        </w:rPr>
        <w:t>centers in the future</w:t>
      </w:r>
      <w:r w:rsidR="00152A2E">
        <w:rPr>
          <w:sz w:val="24"/>
        </w:rPr>
        <w:t xml:space="preserve">. The lessons learned from this project are </w:t>
      </w:r>
      <w:r>
        <w:rPr>
          <w:sz w:val="24"/>
        </w:rPr>
        <w:t>tips that might be used by CIL staff and leaders as they adapt their organizations to changing conditions</w:t>
      </w:r>
      <w:r w:rsidR="00152A2E">
        <w:rPr>
          <w:sz w:val="24"/>
        </w:rPr>
        <w:t xml:space="preserve">.  </w:t>
      </w:r>
    </w:p>
    <w:p w:rsidR="00FC5181" w:rsidRDefault="00964F60" w:rsidP="007F12E7">
      <w:pPr>
        <w:pStyle w:val="ListParagraph"/>
        <w:numPr>
          <w:ilvl w:val="0"/>
          <w:numId w:val="14"/>
        </w:numPr>
        <w:spacing w:after="120"/>
        <w:rPr>
          <w:rFonts w:cs="Times New Roman"/>
          <w:sz w:val="24"/>
          <w:szCs w:val="24"/>
        </w:rPr>
      </w:pPr>
      <w:r w:rsidRPr="00100E9E">
        <w:rPr>
          <w:rFonts w:cs="Times New Roman"/>
          <w:sz w:val="24"/>
          <w:szCs w:val="24"/>
        </w:rPr>
        <w:t xml:space="preserve">Use </w:t>
      </w:r>
      <w:r w:rsidR="00FC5181" w:rsidRPr="00100E9E">
        <w:rPr>
          <w:rFonts w:cs="Times New Roman"/>
          <w:sz w:val="24"/>
          <w:szCs w:val="24"/>
        </w:rPr>
        <w:t xml:space="preserve">participatory assessments of needs, challenges and barriers to </w:t>
      </w:r>
      <w:r w:rsidRPr="00100E9E">
        <w:rPr>
          <w:rFonts w:cs="Times New Roman"/>
          <w:sz w:val="24"/>
          <w:szCs w:val="24"/>
        </w:rPr>
        <w:t xml:space="preserve">focus </w:t>
      </w:r>
      <w:r w:rsidR="00FC5181" w:rsidRPr="00100E9E">
        <w:rPr>
          <w:rFonts w:cs="Times New Roman"/>
          <w:sz w:val="24"/>
          <w:szCs w:val="24"/>
        </w:rPr>
        <w:t xml:space="preserve">implementation of community changes </w:t>
      </w:r>
      <w:r w:rsidRPr="00100E9E">
        <w:rPr>
          <w:rFonts w:cs="Times New Roman"/>
          <w:sz w:val="24"/>
          <w:szCs w:val="24"/>
        </w:rPr>
        <w:t>on the</w:t>
      </w:r>
      <w:r w:rsidR="00D21FB9" w:rsidRPr="00100E9E">
        <w:rPr>
          <w:rFonts w:cs="Times New Roman"/>
          <w:sz w:val="24"/>
          <w:szCs w:val="24"/>
        </w:rPr>
        <w:t xml:space="preserve"> greatest need.</w:t>
      </w:r>
      <w:r w:rsidR="00D21FB9" w:rsidRPr="00100E9E" w:rsidDel="00D21FB9">
        <w:rPr>
          <w:rFonts w:cs="Times New Roman"/>
          <w:sz w:val="24"/>
          <w:szCs w:val="24"/>
        </w:rPr>
        <w:t xml:space="preserve"> </w:t>
      </w:r>
    </w:p>
    <w:p w:rsidR="00100E9E" w:rsidRDefault="007622D9" w:rsidP="007F12E7">
      <w:pPr>
        <w:pStyle w:val="ListParagraph"/>
        <w:numPr>
          <w:ilvl w:val="0"/>
          <w:numId w:val="14"/>
        </w:numPr>
        <w:spacing w:after="120"/>
        <w:rPr>
          <w:rFonts w:cs="Times New Roman"/>
          <w:sz w:val="24"/>
          <w:szCs w:val="24"/>
        </w:rPr>
      </w:pPr>
      <w:r>
        <w:rPr>
          <w:rFonts w:cs="Times New Roman"/>
          <w:sz w:val="24"/>
          <w:szCs w:val="24"/>
        </w:rPr>
        <w:t>Review action plans regularly for relevance and renewed vision and motivation</w:t>
      </w:r>
    </w:p>
    <w:p w:rsidR="00757EF2" w:rsidRDefault="004842B4" w:rsidP="007F12E7">
      <w:pPr>
        <w:pStyle w:val="ListParagraph"/>
        <w:numPr>
          <w:ilvl w:val="0"/>
          <w:numId w:val="8"/>
        </w:numPr>
        <w:spacing w:after="120"/>
        <w:rPr>
          <w:rFonts w:cs="Times New Roman"/>
          <w:sz w:val="24"/>
          <w:szCs w:val="24"/>
        </w:rPr>
      </w:pPr>
      <w:r w:rsidRPr="00100E9E">
        <w:rPr>
          <w:rFonts w:cs="Times New Roman"/>
          <w:sz w:val="24"/>
          <w:szCs w:val="24"/>
        </w:rPr>
        <w:t xml:space="preserve">Build relationships with representatives from organizations in housing, transportation, healthcare and other domains </w:t>
      </w:r>
      <w:r w:rsidR="00964F60" w:rsidRPr="00100E9E">
        <w:rPr>
          <w:rFonts w:cs="Times New Roman"/>
          <w:sz w:val="24"/>
          <w:szCs w:val="24"/>
        </w:rPr>
        <w:t xml:space="preserve">to expand capacity to </w:t>
      </w:r>
      <w:r w:rsidRPr="00100E9E">
        <w:rPr>
          <w:rFonts w:cs="Times New Roman"/>
          <w:sz w:val="24"/>
          <w:szCs w:val="24"/>
        </w:rPr>
        <w:t xml:space="preserve">bring about change. </w:t>
      </w:r>
    </w:p>
    <w:p w:rsidR="00C64E2C" w:rsidRDefault="004842B4" w:rsidP="007F12E7">
      <w:pPr>
        <w:pStyle w:val="ListParagraph"/>
        <w:numPr>
          <w:ilvl w:val="0"/>
          <w:numId w:val="8"/>
        </w:numPr>
        <w:spacing w:after="120"/>
        <w:rPr>
          <w:rFonts w:cs="Times New Roman"/>
          <w:sz w:val="24"/>
          <w:szCs w:val="24"/>
        </w:rPr>
      </w:pPr>
      <w:r w:rsidRPr="00100E9E">
        <w:rPr>
          <w:rFonts w:cs="Times New Roman"/>
          <w:sz w:val="24"/>
          <w:szCs w:val="24"/>
        </w:rPr>
        <w:t>Creat</w:t>
      </w:r>
      <w:r w:rsidR="00964F60" w:rsidRPr="00100E9E">
        <w:rPr>
          <w:rFonts w:cs="Times New Roman"/>
          <w:sz w:val="24"/>
          <w:szCs w:val="24"/>
        </w:rPr>
        <w:t>e</w:t>
      </w:r>
      <w:r w:rsidRPr="00100E9E">
        <w:rPr>
          <w:rFonts w:cs="Times New Roman"/>
          <w:sz w:val="24"/>
          <w:szCs w:val="24"/>
        </w:rPr>
        <w:t xml:space="preserve"> partnerships that inclu</w:t>
      </w:r>
      <w:r w:rsidR="00964F60" w:rsidRPr="00100E9E">
        <w:rPr>
          <w:rFonts w:cs="Times New Roman"/>
          <w:sz w:val="24"/>
          <w:szCs w:val="24"/>
        </w:rPr>
        <w:t xml:space="preserve">de goals and objectives focused </w:t>
      </w:r>
      <w:r w:rsidRPr="00100E9E">
        <w:rPr>
          <w:rFonts w:cs="Times New Roman"/>
          <w:sz w:val="24"/>
          <w:szCs w:val="24"/>
        </w:rPr>
        <w:t xml:space="preserve">on needed change </w:t>
      </w:r>
      <w:r w:rsidR="00B50D02">
        <w:rPr>
          <w:rFonts w:cs="Times New Roman"/>
          <w:sz w:val="24"/>
          <w:szCs w:val="24"/>
        </w:rPr>
        <w:t xml:space="preserve">in </w:t>
      </w:r>
      <w:r w:rsidR="00AD3CB2" w:rsidRPr="00100E9E">
        <w:rPr>
          <w:rFonts w:cs="Times New Roman"/>
          <w:sz w:val="24"/>
          <w:szCs w:val="24"/>
        </w:rPr>
        <w:t>those sectors.</w:t>
      </w:r>
      <w:r w:rsidR="007622D9">
        <w:rPr>
          <w:rFonts w:cs="Times New Roman"/>
          <w:sz w:val="24"/>
          <w:szCs w:val="24"/>
        </w:rPr>
        <w:t xml:space="preserve"> </w:t>
      </w:r>
    </w:p>
    <w:p w:rsidR="00597881" w:rsidRDefault="00757EF2" w:rsidP="007F12E7">
      <w:pPr>
        <w:pStyle w:val="ListParagraph"/>
        <w:numPr>
          <w:ilvl w:val="0"/>
          <w:numId w:val="8"/>
        </w:numPr>
        <w:spacing w:after="120"/>
        <w:rPr>
          <w:rFonts w:cs="Times New Roman"/>
          <w:sz w:val="24"/>
          <w:szCs w:val="24"/>
        </w:rPr>
      </w:pPr>
      <w:r>
        <w:rPr>
          <w:rFonts w:cs="Times New Roman"/>
          <w:sz w:val="24"/>
          <w:szCs w:val="24"/>
        </w:rPr>
        <w:t>Produce added knowledge through the development of Learning</w:t>
      </w:r>
      <w:r w:rsidR="00597881">
        <w:rPr>
          <w:rFonts w:cs="Times New Roman"/>
          <w:sz w:val="24"/>
          <w:szCs w:val="24"/>
        </w:rPr>
        <w:t xml:space="preserve"> communities </w:t>
      </w:r>
    </w:p>
    <w:p w:rsidR="00C64E2C" w:rsidRDefault="00AD3CB2" w:rsidP="007F12E7">
      <w:pPr>
        <w:pStyle w:val="ListParagraph"/>
        <w:numPr>
          <w:ilvl w:val="0"/>
          <w:numId w:val="8"/>
        </w:numPr>
        <w:spacing w:after="120"/>
      </w:pPr>
      <w:r w:rsidRPr="00100E9E">
        <w:t>D</w:t>
      </w:r>
      <w:r w:rsidR="007622D9">
        <w:t>evelop and use</w:t>
      </w:r>
      <w:r w:rsidR="00F15977" w:rsidRPr="00100E9E">
        <w:t xml:space="preserve"> adv</w:t>
      </w:r>
      <w:r w:rsidR="00FC5181" w:rsidRPr="00100E9E">
        <w:t>ocacy grou</w:t>
      </w:r>
      <w:r w:rsidR="00191EF5" w:rsidRPr="00100E9E">
        <w:t xml:space="preserve">ps </w:t>
      </w:r>
      <w:r w:rsidRPr="00100E9E">
        <w:t xml:space="preserve">to </w:t>
      </w:r>
      <w:r w:rsidR="00D21FB9" w:rsidRPr="00100E9E">
        <w:t>amplif</w:t>
      </w:r>
      <w:r w:rsidRPr="00100E9E">
        <w:t>y</w:t>
      </w:r>
      <w:r w:rsidR="00191EF5" w:rsidRPr="00100E9E">
        <w:t xml:space="preserve"> staff capacity</w:t>
      </w:r>
      <w:r w:rsidR="00FC5181" w:rsidRPr="00100E9E">
        <w:t xml:space="preserve">. </w:t>
      </w:r>
    </w:p>
    <w:p w:rsidR="007622D9" w:rsidRPr="007622D9" w:rsidRDefault="00757EF2" w:rsidP="007F12E7">
      <w:pPr>
        <w:pStyle w:val="ListParagraph"/>
        <w:numPr>
          <w:ilvl w:val="0"/>
          <w:numId w:val="8"/>
        </w:numPr>
        <w:spacing w:after="120"/>
        <w:rPr>
          <w:rFonts w:cs="Times New Roman"/>
          <w:sz w:val="24"/>
          <w:szCs w:val="24"/>
        </w:rPr>
      </w:pPr>
      <w:r>
        <w:t>B</w:t>
      </w:r>
      <w:r w:rsidR="007622D9">
        <w:t>uild</w:t>
      </w:r>
      <w:r>
        <w:t xml:space="preserve"> on </w:t>
      </w:r>
      <w:r w:rsidR="007622D9">
        <w:t xml:space="preserve">knowledge </w:t>
      </w:r>
      <w:r w:rsidR="0033220B" w:rsidRPr="00C64E2C">
        <w:t xml:space="preserve">from </w:t>
      </w:r>
      <w:r>
        <w:t>the other participating Centers</w:t>
      </w:r>
      <w:r w:rsidR="0033220B" w:rsidRPr="00C64E2C">
        <w:t xml:space="preserve">. </w:t>
      </w:r>
    </w:p>
    <w:p w:rsidR="00757EF2" w:rsidRDefault="00757EF2" w:rsidP="007F12E7">
      <w:pPr>
        <w:pStyle w:val="ListParagraph"/>
        <w:numPr>
          <w:ilvl w:val="0"/>
          <w:numId w:val="8"/>
        </w:numPr>
        <w:spacing w:after="120"/>
        <w:rPr>
          <w:rFonts w:cs="Times New Roman"/>
          <w:sz w:val="24"/>
          <w:szCs w:val="24"/>
        </w:rPr>
      </w:pPr>
      <w:r>
        <w:t>Use informal</w:t>
      </w:r>
      <w:r w:rsidR="0033220B" w:rsidRPr="00100E9E">
        <w:rPr>
          <w:rFonts w:cs="Times New Roman"/>
          <w:sz w:val="24"/>
          <w:szCs w:val="24"/>
        </w:rPr>
        <w:t xml:space="preserve"> community intervention</w:t>
      </w:r>
      <w:r>
        <w:rPr>
          <w:rFonts w:cs="Times New Roman"/>
          <w:sz w:val="24"/>
          <w:szCs w:val="24"/>
        </w:rPr>
        <w:t xml:space="preserve"> pilot project to </w:t>
      </w:r>
      <w:r w:rsidR="00191EF5" w:rsidRPr="00100E9E">
        <w:rPr>
          <w:rFonts w:cs="Times New Roman"/>
          <w:sz w:val="24"/>
          <w:szCs w:val="24"/>
        </w:rPr>
        <w:t>show pot</w:t>
      </w:r>
      <w:r w:rsidR="004C57DD" w:rsidRPr="00100E9E">
        <w:rPr>
          <w:rFonts w:cs="Times New Roman"/>
          <w:sz w:val="24"/>
          <w:szCs w:val="24"/>
        </w:rPr>
        <w:t xml:space="preserve">ential adopters </w:t>
      </w:r>
      <w:r>
        <w:rPr>
          <w:rFonts w:cs="Times New Roman"/>
          <w:sz w:val="24"/>
          <w:szCs w:val="24"/>
        </w:rPr>
        <w:t>results</w:t>
      </w:r>
    </w:p>
    <w:p w:rsidR="00100E9E" w:rsidRDefault="00757EF2" w:rsidP="007F12E7">
      <w:pPr>
        <w:pStyle w:val="ListParagraph"/>
        <w:numPr>
          <w:ilvl w:val="0"/>
          <w:numId w:val="8"/>
        </w:numPr>
        <w:spacing w:after="120"/>
        <w:rPr>
          <w:rFonts w:cs="Times New Roman"/>
          <w:sz w:val="24"/>
          <w:szCs w:val="24"/>
        </w:rPr>
      </w:pPr>
      <w:r>
        <w:rPr>
          <w:rFonts w:cs="Times New Roman"/>
          <w:sz w:val="24"/>
          <w:szCs w:val="24"/>
        </w:rPr>
        <w:t>P</w:t>
      </w:r>
      <w:r w:rsidR="0033220B" w:rsidRPr="00100E9E">
        <w:rPr>
          <w:rFonts w:cs="Times New Roman"/>
          <w:sz w:val="24"/>
          <w:szCs w:val="24"/>
        </w:rPr>
        <w:t xml:space="preserve">rovide helpful tips </w:t>
      </w:r>
      <w:r>
        <w:rPr>
          <w:rFonts w:cs="Times New Roman"/>
          <w:sz w:val="24"/>
          <w:szCs w:val="24"/>
        </w:rPr>
        <w:t>to partners on</w:t>
      </w:r>
      <w:r w:rsidR="0033220B" w:rsidRPr="00100E9E">
        <w:rPr>
          <w:rFonts w:cs="Times New Roman"/>
          <w:sz w:val="24"/>
          <w:szCs w:val="24"/>
        </w:rPr>
        <w:t xml:space="preserve"> </w:t>
      </w:r>
      <w:r w:rsidR="00191EF5" w:rsidRPr="00100E9E">
        <w:rPr>
          <w:rFonts w:cs="Times New Roman"/>
          <w:sz w:val="24"/>
          <w:szCs w:val="24"/>
        </w:rPr>
        <w:t xml:space="preserve">how </w:t>
      </w:r>
      <w:r w:rsidR="0028675C" w:rsidRPr="00100E9E">
        <w:rPr>
          <w:rFonts w:cs="Times New Roman"/>
          <w:sz w:val="24"/>
          <w:szCs w:val="24"/>
        </w:rPr>
        <w:t>programs</w:t>
      </w:r>
      <w:r w:rsidR="00191EF5" w:rsidRPr="00100E9E">
        <w:rPr>
          <w:rFonts w:cs="Times New Roman"/>
          <w:sz w:val="24"/>
          <w:szCs w:val="24"/>
        </w:rPr>
        <w:t xml:space="preserve"> can be implemented</w:t>
      </w:r>
      <w:r>
        <w:rPr>
          <w:rFonts w:cs="Times New Roman"/>
          <w:sz w:val="24"/>
          <w:szCs w:val="24"/>
        </w:rPr>
        <w:t xml:space="preserve"> to make uptake easier</w:t>
      </w:r>
      <w:r w:rsidR="000C13EA" w:rsidRPr="00100E9E">
        <w:rPr>
          <w:rFonts w:cs="Times New Roman"/>
          <w:sz w:val="24"/>
          <w:szCs w:val="24"/>
        </w:rPr>
        <w:t>.</w:t>
      </w:r>
    </w:p>
    <w:p w:rsidR="00F15977" w:rsidRPr="00100E9E" w:rsidRDefault="00191EF5" w:rsidP="007F12E7">
      <w:pPr>
        <w:pStyle w:val="ListParagraph"/>
        <w:numPr>
          <w:ilvl w:val="0"/>
          <w:numId w:val="8"/>
        </w:numPr>
        <w:spacing w:after="120"/>
      </w:pPr>
      <w:r w:rsidRPr="00100E9E">
        <w:rPr>
          <w:rFonts w:cs="Times New Roman"/>
          <w:sz w:val="24"/>
          <w:szCs w:val="24"/>
        </w:rPr>
        <w:t xml:space="preserve">Find organizations that are </w:t>
      </w:r>
      <w:r w:rsidR="00F15977" w:rsidRPr="00100E9E">
        <w:rPr>
          <w:rFonts w:cs="Times New Roman"/>
          <w:sz w:val="24"/>
          <w:szCs w:val="24"/>
        </w:rPr>
        <w:t>early adopters</w:t>
      </w:r>
      <w:r w:rsidR="004C57DD" w:rsidRPr="00100E9E">
        <w:rPr>
          <w:rFonts w:cs="Times New Roman"/>
          <w:sz w:val="24"/>
          <w:szCs w:val="24"/>
        </w:rPr>
        <w:t xml:space="preserve"> of new programs </w:t>
      </w:r>
      <w:r w:rsidR="0028675C" w:rsidRPr="00100E9E">
        <w:rPr>
          <w:rFonts w:cs="Times New Roman"/>
          <w:sz w:val="24"/>
          <w:szCs w:val="24"/>
        </w:rPr>
        <w:t xml:space="preserve">and use to </w:t>
      </w:r>
      <w:r w:rsidRPr="00100E9E">
        <w:rPr>
          <w:rFonts w:cs="Times New Roman"/>
          <w:sz w:val="24"/>
          <w:szCs w:val="24"/>
        </w:rPr>
        <w:t>motivate other groups to take</w:t>
      </w:r>
      <w:r w:rsidRPr="00100E9E">
        <w:t xml:space="preserve"> up the community change</w:t>
      </w:r>
      <w:r w:rsidR="004842B4" w:rsidRPr="00100E9E">
        <w:t>.</w:t>
      </w:r>
    </w:p>
    <w:p w:rsidR="00B40D80" w:rsidRDefault="00B40D80" w:rsidP="007F12E7">
      <w:pPr>
        <w:spacing w:after="120"/>
        <w:rPr>
          <w:rFonts w:cs="Times New Roman"/>
          <w:sz w:val="24"/>
          <w:szCs w:val="24"/>
          <w:u w:val="single"/>
        </w:rPr>
      </w:pPr>
      <w:r w:rsidRPr="00B40D80">
        <w:rPr>
          <w:rFonts w:cs="Times New Roman"/>
          <w:sz w:val="24"/>
          <w:szCs w:val="24"/>
          <w:u w:val="single"/>
        </w:rPr>
        <w:t>Contextual Considerations</w:t>
      </w:r>
    </w:p>
    <w:p w:rsidR="00CD5E26" w:rsidRPr="00100E9E" w:rsidRDefault="0028675C" w:rsidP="007F12E7">
      <w:pPr>
        <w:spacing w:after="120"/>
        <w:rPr>
          <w:rFonts w:cs="Times New Roman"/>
          <w:sz w:val="24"/>
          <w:szCs w:val="24"/>
        </w:rPr>
      </w:pPr>
      <w:r w:rsidRPr="00100E9E">
        <w:rPr>
          <w:rFonts w:cs="Times New Roman"/>
          <w:sz w:val="24"/>
          <w:szCs w:val="24"/>
        </w:rPr>
        <w:t>During the study period,</w:t>
      </w:r>
      <w:r w:rsidR="009B5822" w:rsidRPr="00100E9E">
        <w:rPr>
          <w:rFonts w:cs="Times New Roman"/>
          <w:sz w:val="24"/>
          <w:szCs w:val="24"/>
        </w:rPr>
        <w:t xml:space="preserve"> CILs engag</w:t>
      </w:r>
      <w:r w:rsidRPr="00100E9E">
        <w:rPr>
          <w:rFonts w:cs="Times New Roman"/>
          <w:sz w:val="24"/>
          <w:szCs w:val="24"/>
        </w:rPr>
        <w:t>ed</w:t>
      </w:r>
      <w:r w:rsidR="009B5822" w:rsidRPr="00100E9E">
        <w:rPr>
          <w:rFonts w:cs="Times New Roman"/>
          <w:sz w:val="24"/>
          <w:szCs w:val="24"/>
        </w:rPr>
        <w:t xml:space="preserve"> in community change efforts in a challenging environment. This longitudinal study offer</w:t>
      </w:r>
      <w:r w:rsidRPr="00100E9E">
        <w:rPr>
          <w:rFonts w:cs="Times New Roman"/>
          <w:sz w:val="24"/>
          <w:szCs w:val="24"/>
        </w:rPr>
        <w:t>s another viewpoint on how</w:t>
      </w:r>
      <w:r w:rsidR="009B5822" w:rsidRPr="00100E9E">
        <w:rPr>
          <w:rFonts w:cs="Times New Roman"/>
          <w:sz w:val="24"/>
          <w:szCs w:val="24"/>
        </w:rPr>
        <w:t xml:space="preserve"> state and federal policies, as well as local influences</w:t>
      </w:r>
      <w:r w:rsidRPr="00100E9E">
        <w:rPr>
          <w:rFonts w:cs="Times New Roman"/>
          <w:sz w:val="24"/>
          <w:szCs w:val="24"/>
        </w:rPr>
        <w:t>,</w:t>
      </w:r>
      <w:r w:rsidR="009B5822" w:rsidRPr="00100E9E">
        <w:rPr>
          <w:rFonts w:cs="Times New Roman"/>
          <w:sz w:val="24"/>
          <w:szCs w:val="24"/>
        </w:rPr>
        <w:t xml:space="preserve"> </w:t>
      </w:r>
      <w:r w:rsidRPr="00100E9E">
        <w:rPr>
          <w:rFonts w:cs="Times New Roman"/>
          <w:sz w:val="24"/>
          <w:szCs w:val="24"/>
        </w:rPr>
        <w:t xml:space="preserve">affected CIL operations, </w:t>
      </w:r>
      <w:r w:rsidR="009B5822" w:rsidRPr="00100E9E">
        <w:rPr>
          <w:rFonts w:cs="Times New Roman"/>
          <w:sz w:val="24"/>
          <w:szCs w:val="24"/>
        </w:rPr>
        <w:t xml:space="preserve">services and </w:t>
      </w:r>
      <w:r w:rsidRPr="00100E9E">
        <w:rPr>
          <w:rFonts w:cs="Times New Roman"/>
          <w:sz w:val="24"/>
          <w:szCs w:val="24"/>
        </w:rPr>
        <w:t xml:space="preserve">capacity for </w:t>
      </w:r>
      <w:r w:rsidR="009B5822" w:rsidRPr="00100E9E">
        <w:rPr>
          <w:rFonts w:cs="Times New Roman"/>
          <w:sz w:val="24"/>
          <w:szCs w:val="24"/>
        </w:rPr>
        <w:t>changing conditions in communities that promote full participation.</w:t>
      </w:r>
      <w:r w:rsidRPr="00100E9E">
        <w:rPr>
          <w:rFonts w:cs="Times New Roman"/>
          <w:sz w:val="24"/>
          <w:szCs w:val="24"/>
        </w:rPr>
        <w:t xml:space="preserve"> </w:t>
      </w:r>
      <w:r w:rsidR="00DE3452" w:rsidRPr="00100E9E">
        <w:rPr>
          <w:rFonts w:eastAsia="Times New Roman" w:cs="Times New Roman"/>
          <w:sz w:val="24"/>
          <w:szCs w:val="24"/>
        </w:rPr>
        <w:t>Collaborative community-wide approach</w:t>
      </w:r>
      <w:r w:rsidR="00B9032A" w:rsidRPr="00100E9E">
        <w:rPr>
          <w:rFonts w:eastAsia="Times New Roman" w:cs="Times New Roman"/>
          <w:sz w:val="24"/>
          <w:szCs w:val="24"/>
        </w:rPr>
        <w:t>es</w:t>
      </w:r>
      <w:r w:rsidR="00DE3452" w:rsidRPr="00100E9E">
        <w:rPr>
          <w:rFonts w:eastAsia="Times New Roman" w:cs="Times New Roman"/>
          <w:sz w:val="24"/>
          <w:szCs w:val="24"/>
        </w:rPr>
        <w:t xml:space="preserve"> to remove barriers to full </w:t>
      </w:r>
      <w:r w:rsidR="00D21FB9" w:rsidRPr="00100E9E">
        <w:rPr>
          <w:rFonts w:eastAsia="Times New Roman" w:cs="Times New Roman"/>
          <w:sz w:val="24"/>
          <w:szCs w:val="24"/>
        </w:rPr>
        <w:t xml:space="preserve">community </w:t>
      </w:r>
      <w:r w:rsidR="00DE3452" w:rsidRPr="00100E9E">
        <w:rPr>
          <w:rFonts w:eastAsia="Times New Roman" w:cs="Times New Roman"/>
          <w:sz w:val="24"/>
          <w:szCs w:val="24"/>
        </w:rPr>
        <w:t xml:space="preserve">participation </w:t>
      </w:r>
      <w:r w:rsidR="00B9032A" w:rsidRPr="00100E9E">
        <w:rPr>
          <w:rFonts w:eastAsia="Times New Roman" w:cs="Times New Roman"/>
          <w:sz w:val="24"/>
          <w:szCs w:val="24"/>
        </w:rPr>
        <w:t xml:space="preserve">of people with disabilities </w:t>
      </w:r>
      <w:r w:rsidR="00DE3452" w:rsidRPr="00100E9E">
        <w:rPr>
          <w:rFonts w:eastAsia="Times New Roman" w:cs="Times New Roman"/>
          <w:sz w:val="24"/>
          <w:szCs w:val="24"/>
        </w:rPr>
        <w:t xml:space="preserve">is a useful strategy to help CIL’s fulfil their mission. </w:t>
      </w:r>
      <w:r w:rsidRPr="00100E9E">
        <w:rPr>
          <w:rFonts w:eastAsia="Times New Roman" w:cs="Times New Roman"/>
          <w:sz w:val="24"/>
          <w:szCs w:val="24"/>
        </w:rPr>
        <w:t>Though a</w:t>
      </w:r>
      <w:r w:rsidR="00814DDF" w:rsidRPr="00100E9E">
        <w:rPr>
          <w:rFonts w:eastAsia="Times New Roman" w:cs="Times New Roman"/>
          <w:sz w:val="24"/>
          <w:szCs w:val="24"/>
        </w:rPr>
        <w:t>dvocacy is one of the core strategies CI</w:t>
      </w:r>
      <w:r w:rsidRPr="00100E9E">
        <w:rPr>
          <w:rFonts w:eastAsia="Times New Roman" w:cs="Times New Roman"/>
          <w:sz w:val="24"/>
          <w:szCs w:val="24"/>
        </w:rPr>
        <w:t>Ls use to empower consumers, it</w:t>
      </w:r>
      <w:r w:rsidR="00814DDF" w:rsidRPr="00100E9E">
        <w:rPr>
          <w:rFonts w:eastAsia="Times New Roman" w:cs="Times New Roman"/>
          <w:sz w:val="24"/>
          <w:szCs w:val="24"/>
        </w:rPr>
        <w:t xml:space="preserve"> is limited in its development</w:t>
      </w:r>
      <w:r w:rsidR="00CD5E26" w:rsidRPr="00100E9E">
        <w:rPr>
          <w:rFonts w:eastAsia="Times New Roman" w:cs="Times New Roman"/>
          <w:sz w:val="24"/>
          <w:szCs w:val="24"/>
        </w:rPr>
        <w:t xml:space="preserve"> and implementation</w:t>
      </w:r>
      <w:r w:rsidR="00814DDF" w:rsidRPr="00100E9E">
        <w:rPr>
          <w:rFonts w:eastAsia="Times New Roman" w:cs="Times New Roman"/>
          <w:sz w:val="24"/>
          <w:szCs w:val="24"/>
        </w:rPr>
        <w:t xml:space="preserve">. </w:t>
      </w:r>
    </w:p>
    <w:p w:rsidR="001C4BBA" w:rsidRPr="00100E9E" w:rsidRDefault="00CD5E26" w:rsidP="007F12E7">
      <w:pPr>
        <w:spacing w:after="120"/>
        <w:rPr>
          <w:rFonts w:eastAsia="Times New Roman" w:cs="Times New Roman"/>
          <w:sz w:val="24"/>
          <w:szCs w:val="24"/>
        </w:rPr>
      </w:pPr>
      <w:r w:rsidRPr="00100E9E">
        <w:rPr>
          <w:rFonts w:eastAsia="Times New Roman" w:cs="Times New Roman"/>
          <w:sz w:val="24"/>
          <w:szCs w:val="24"/>
        </w:rPr>
        <w:t>For CILs to become strong leaders in changing community conditions requires greater capacity and renewed focus on community</w:t>
      </w:r>
      <w:r w:rsidR="00830051">
        <w:rPr>
          <w:rFonts w:eastAsia="Times New Roman" w:cs="Times New Roman"/>
          <w:sz w:val="24"/>
          <w:szCs w:val="24"/>
        </w:rPr>
        <w:t>-</w:t>
      </w:r>
      <w:r w:rsidRPr="00100E9E">
        <w:rPr>
          <w:rFonts w:eastAsia="Times New Roman" w:cs="Times New Roman"/>
          <w:sz w:val="24"/>
          <w:szCs w:val="24"/>
        </w:rPr>
        <w:t xml:space="preserve">level change. </w:t>
      </w:r>
      <w:r w:rsidR="0028675C" w:rsidRPr="00100E9E">
        <w:rPr>
          <w:rFonts w:eastAsia="Times New Roman" w:cs="Times New Roman"/>
          <w:sz w:val="24"/>
          <w:szCs w:val="24"/>
        </w:rPr>
        <w:t>Under the right conditions, b</w:t>
      </w:r>
      <w:r w:rsidR="00DE3452" w:rsidRPr="00100E9E">
        <w:rPr>
          <w:rFonts w:eastAsia="Times New Roman" w:cs="Times New Roman"/>
          <w:sz w:val="24"/>
          <w:szCs w:val="24"/>
        </w:rPr>
        <w:t xml:space="preserve">uilding the capacity of CILs and their community partners </w:t>
      </w:r>
      <w:r w:rsidR="00814DDF" w:rsidRPr="00100E9E">
        <w:rPr>
          <w:rFonts w:eastAsia="Times New Roman" w:cs="Times New Roman"/>
          <w:sz w:val="24"/>
          <w:szCs w:val="24"/>
        </w:rPr>
        <w:t xml:space="preserve">can lead </w:t>
      </w:r>
      <w:r w:rsidR="00DE3452" w:rsidRPr="00100E9E">
        <w:rPr>
          <w:rFonts w:eastAsia="Times New Roman" w:cs="Times New Roman"/>
          <w:sz w:val="24"/>
          <w:szCs w:val="24"/>
        </w:rPr>
        <w:t xml:space="preserve">to </w:t>
      </w:r>
      <w:r w:rsidR="00814DDF" w:rsidRPr="00100E9E">
        <w:rPr>
          <w:rFonts w:eastAsia="Times New Roman" w:cs="Times New Roman"/>
          <w:sz w:val="24"/>
          <w:szCs w:val="24"/>
        </w:rPr>
        <w:t xml:space="preserve">greater community change. </w:t>
      </w:r>
      <w:r w:rsidR="0028675C" w:rsidRPr="00100E9E">
        <w:rPr>
          <w:rFonts w:eastAsia="Times New Roman" w:cs="Times New Roman"/>
          <w:sz w:val="24"/>
          <w:szCs w:val="24"/>
        </w:rPr>
        <w:t xml:space="preserve">Collaborative community change can lead to more engagement of people with disabilities in the community. </w:t>
      </w:r>
      <w:r w:rsidR="00814DDF" w:rsidRPr="00100E9E">
        <w:rPr>
          <w:rFonts w:eastAsia="Times New Roman" w:cs="Times New Roman"/>
          <w:sz w:val="24"/>
          <w:szCs w:val="24"/>
        </w:rPr>
        <w:t>Current state</w:t>
      </w:r>
      <w:r w:rsidR="00830051">
        <w:rPr>
          <w:rFonts w:eastAsia="Times New Roman" w:cs="Times New Roman"/>
          <w:sz w:val="24"/>
          <w:szCs w:val="24"/>
        </w:rPr>
        <w:t>-l</w:t>
      </w:r>
      <w:r w:rsidR="00814DDF" w:rsidRPr="00100E9E">
        <w:rPr>
          <w:rFonts w:eastAsia="Times New Roman" w:cs="Times New Roman"/>
          <w:sz w:val="24"/>
          <w:szCs w:val="24"/>
        </w:rPr>
        <w:t xml:space="preserve">evel </w:t>
      </w:r>
      <w:r w:rsidR="0028675C" w:rsidRPr="00100E9E">
        <w:rPr>
          <w:rFonts w:eastAsia="Times New Roman" w:cs="Times New Roman"/>
          <w:sz w:val="24"/>
          <w:szCs w:val="24"/>
        </w:rPr>
        <w:t xml:space="preserve">funding </w:t>
      </w:r>
      <w:r w:rsidR="00814DDF" w:rsidRPr="00100E9E">
        <w:rPr>
          <w:rFonts w:eastAsia="Times New Roman" w:cs="Times New Roman"/>
          <w:sz w:val="24"/>
          <w:szCs w:val="24"/>
        </w:rPr>
        <w:t xml:space="preserve">cutbacks and national changes supporting health care have </w:t>
      </w:r>
      <w:r w:rsidR="00E8745F" w:rsidRPr="00100E9E">
        <w:rPr>
          <w:rFonts w:eastAsia="Times New Roman" w:cs="Times New Roman"/>
          <w:sz w:val="24"/>
          <w:szCs w:val="24"/>
        </w:rPr>
        <w:t xml:space="preserve">diminished </w:t>
      </w:r>
      <w:r w:rsidR="00814DDF" w:rsidRPr="00100E9E">
        <w:rPr>
          <w:rFonts w:eastAsia="Times New Roman" w:cs="Times New Roman"/>
          <w:sz w:val="24"/>
          <w:szCs w:val="24"/>
        </w:rPr>
        <w:t>CILs</w:t>
      </w:r>
      <w:r w:rsidR="00830051">
        <w:rPr>
          <w:rFonts w:eastAsia="Times New Roman" w:cs="Times New Roman"/>
          <w:sz w:val="24"/>
          <w:szCs w:val="24"/>
        </w:rPr>
        <w:t>’ current</w:t>
      </w:r>
      <w:r w:rsidR="00814DDF" w:rsidRPr="00100E9E">
        <w:rPr>
          <w:rFonts w:eastAsia="Times New Roman" w:cs="Times New Roman"/>
          <w:sz w:val="24"/>
          <w:szCs w:val="24"/>
        </w:rPr>
        <w:t xml:space="preserve"> capacity to facilitate community change. </w:t>
      </w:r>
    </w:p>
    <w:p w:rsidR="00DE3452" w:rsidRPr="00100E9E" w:rsidRDefault="00B05736" w:rsidP="007F12E7">
      <w:pPr>
        <w:spacing w:after="120"/>
        <w:rPr>
          <w:rFonts w:eastAsia="Times New Roman" w:cs="Times New Roman"/>
          <w:sz w:val="24"/>
          <w:szCs w:val="24"/>
        </w:rPr>
      </w:pPr>
      <w:r w:rsidRPr="00100E9E">
        <w:rPr>
          <w:rFonts w:eastAsia="Times New Roman" w:cs="Times New Roman"/>
          <w:sz w:val="24"/>
          <w:szCs w:val="24"/>
        </w:rPr>
        <w:t>R</w:t>
      </w:r>
      <w:r w:rsidR="001C4BBA" w:rsidRPr="00100E9E">
        <w:rPr>
          <w:rFonts w:eastAsia="Times New Roman" w:cs="Times New Roman"/>
          <w:sz w:val="24"/>
          <w:szCs w:val="24"/>
        </w:rPr>
        <w:t xml:space="preserve">educed safety nets lead to increased caseloads and consumer demands. </w:t>
      </w:r>
      <w:r w:rsidR="00CA509A" w:rsidRPr="00100E9E">
        <w:rPr>
          <w:rFonts w:eastAsia="Times New Roman" w:cs="Times New Roman"/>
          <w:sz w:val="24"/>
          <w:szCs w:val="24"/>
        </w:rPr>
        <w:t xml:space="preserve">CILs are required to compete with other larger managed care organizations. </w:t>
      </w:r>
      <w:r w:rsidR="001C4BBA" w:rsidRPr="00100E9E">
        <w:rPr>
          <w:rFonts w:eastAsia="Times New Roman" w:cs="Times New Roman"/>
          <w:sz w:val="24"/>
          <w:szCs w:val="24"/>
        </w:rPr>
        <w:t xml:space="preserve">Governmental and funding agencies have a limited understanding of the unintended consequences that affect CILs and their ability to focus on </w:t>
      </w:r>
      <w:r w:rsidR="00830051">
        <w:rPr>
          <w:rFonts w:eastAsia="Times New Roman" w:cs="Times New Roman"/>
          <w:sz w:val="24"/>
          <w:szCs w:val="24"/>
        </w:rPr>
        <w:t xml:space="preserve">needed </w:t>
      </w:r>
      <w:r w:rsidR="001C4BBA" w:rsidRPr="00100E9E">
        <w:rPr>
          <w:rFonts w:eastAsia="Times New Roman" w:cs="Times New Roman"/>
          <w:sz w:val="24"/>
          <w:szCs w:val="24"/>
        </w:rPr>
        <w:t>community</w:t>
      </w:r>
      <w:r w:rsidR="00830051">
        <w:rPr>
          <w:rFonts w:eastAsia="Times New Roman" w:cs="Times New Roman"/>
          <w:sz w:val="24"/>
          <w:szCs w:val="24"/>
        </w:rPr>
        <w:t xml:space="preserve"> and systems</w:t>
      </w:r>
      <w:r w:rsidR="001C4BBA" w:rsidRPr="00100E9E">
        <w:rPr>
          <w:rFonts w:eastAsia="Times New Roman" w:cs="Times New Roman"/>
          <w:sz w:val="24"/>
          <w:szCs w:val="24"/>
        </w:rPr>
        <w:t xml:space="preserve"> change.</w:t>
      </w:r>
      <w:r w:rsidR="00CA509A" w:rsidRPr="00100E9E">
        <w:rPr>
          <w:rFonts w:eastAsia="Times New Roman" w:cs="Times New Roman"/>
          <w:sz w:val="24"/>
          <w:szCs w:val="24"/>
        </w:rPr>
        <w:t xml:space="preserve"> CILs refocus their efforts on managing staff reductions while trying to respond </w:t>
      </w:r>
      <w:r w:rsidRPr="00100E9E">
        <w:rPr>
          <w:rFonts w:eastAsia="Times New Roman" w:cs="Times New Roman"/>
          <w:sz w:val="24"/>
          <w:szCs w:val="24"/>
        </w:rPr>
        <w:t xml:space="preserve">to </w:t>
      </w:r>
      <w:r w:rsidR="00CA509A" w:rsidRPr="00100E9E">
        <w:rPr>
          <w:rFonts w:eastAsia="Times New Roman" w:cs="Times New Roman"/>
          <w:sz w:val="24"/>
          <w:szCs w:val="24"/>
        </w:rPr>
        <w:t xml:space="preserve">greater consumer demands; on increasing direct </w:t>
      </w:r>
      <w:r w:rsidR="00CA509A" w:rsidRPr="00100E9E">
        <w:rPr>
          <w:rFonts w:eastAsia="Times New Roman" w:cs="Times New Roman"/>
          <w:sz w:val="24"/>
          <w:szCs w:val="24"/>
        </w:rPr>
        <w:lastRenderedPageBreak/>
        <w:t xml:space="preserve">service that is reimbursable, reinforcing an already predominately direct service orientation; and reducing </w:t>
      </w:r>
      <w:r w:rsidRPr="00100E9E">
        <w:rPr>
          <w:rFonts w:eastAsia="Times New Roman" w:cs="Times New Roman"/>
          <w:sz w:val="24"/>
          <w:szCs w:val="24"/>
        </w:rPr>
        <w:t xml:space="preserve">their </w:t>
      </w:r>
      <w:r w:rsidR="00CA509A" w:rsidRPr="00100E9E">
        <w:rPr>
          <w:rFonts w:eastAsia="Times New Roman" w:cs="Times New Roman"/>
          <w:sz w:val="24"/>
          <w:szCs w:val="24"/>
        </w:rPr>
        <w:t xml:space="preserve">efforts, due to perceived difficulty, to bring about community change. </w:t>
      </w:r>
      <w:r w:rsidR="001C4BBA" w:rsidRPr="00100E9E">
        <w:rPr>
          <w:rFonts w:eastAsia="Times New Roman" w:cs="Times New Roman"/>
          <w:sz w:val="24"/>
          <w:szCs w:val="24"/>
        </w:rPr>
        <w:t xml:space="preserve"> </w:t>
      </w:r>
    </w:p>
    <w:p w:rsidR="00CD5E26" w:rsidRDefault="00B05736" w:rsidP="007F12E7">
      <w:pPr>
        <w:spacing w:after="120"/>
        <w:rPr>
          <w:rFonts w:eastAsia="Times New Roman" w:cs="Times New Roman"/>
          <w:sz w:val="24"/>
          <w:szCs w:val="24"/>
        </w:rPr>
      </w:pPr>
      <w:r w:rsidRPr="00100E9E">
        <w:rPr>
          <w:rFonts w:eastAsia="Times New Roman" w:cs="Times New Roman"/>
          <w:sz w:val="24"/>
          <w:szCs w:val="24"/>
        </w:rPr>
        <w:t xml:space="preserve">Who can lead the charge for change during a period of fiscal contraction, needed and improved levels of governmental oversight, legislative mandates, changing reimbursement requirements, and downsizing? </w:t>
      </w:r>
      <w:r w:rsidR="00CA509A" w:rsidRPr="00100E9E">
        <w:rPr>
          <w:rFonts w:eastAsia="Times New Roman" w:cs="Times New Roman"/>
          <w:sz w:val="24"/>
          <w:szCs w:val="24"/>
        </w:rPr>
        <w:t>Though there were some successes, t</w:t>
      </w:r>
      <w:r w:rsidR="00CD5E26" w:rsidRPr="00100E9E">
        <w:rPr>
          <w:rFonts w:eastAsia="Times New Roman" w:cs="Times New Roman"/>
          <w:sz w:val="24"/>
          <w:szCs w:val="24"/>
        </w:rPr>
        <w:t>his study showed CILs</w:t>
      </w:r>
      <w:r w:rsidR="00B22EF8">
        <w:rPr>
          <w:rFonts w:eastAsia="Times New Roman" w:cs="Times New Roman"/>
          <w:sz w:val="24"/>
          <w:szCs w:val="24"/>
        </w:rPr>
        <w:t>’</w:t>
      </w:r>
      <w:r w:rsidR="00CD5E26" w:rsidRPr="00100E9E">
        <w:rPr>
          <w:rFonts w:eastAsia="Times New Roman" w:cs="Times New Roman"/>
          <w:sz w:val="24"/>
          <w:szCs w:val="24"/>
        </w:rPr>
        <w:t xml:space="preserve"> limited ability to bring about the community change needed to reduce the isolation of people with disabilities during times of significant political and fiscal upheaval. It does suggest that in order to refocus and increase CILs</w:t>
      </w:r>
      <w:r w:rsidR="00B22EF8">
        <w:rPr>
          <w:rFonts w:eastAsia="Times New Roman" w:cs="Times New Roman"/>
          <w:sz w:val="24"/>
          <w:szCs w:val="24"/>
        </w:rPr>
        <w:t>’</w:t>
      </w:r>
      <w:r w:rsidR="00CD5E26" w:rsidRPr="00100E9E">
        <w:rPr>
          <w:rFonts w:eastAsia="Times New Roman" w:cs="Times New Roman"/>
          <w:sz w:val="24"/>
          <w:szCs w:val="24"/>
        </w:rPr>
        <w:t xml:space="preserve"> ability to </w:t>
      </w:r>
      <w:r w:rsidR="00CA509A" w:rsidRPr="00100E9E">
        <w:rPr>
          <w:rFonts w:eastAsia="Times New Roman" w:cs="Times New Roman"/>
          <w:sz w:val="24"/>
          <w:szCs w:val="24"/>
        </w:rPr>
        <w:t>create a</w:t>
      </w:r>
      <w:r w:rsidR="00CD5E26" w:rsidRPr="00100E9E">
        <w:rPr>
          <w:rFonts w:eastAsia="Times New Roman" w:cs="Times New Roman"/>
          <w:sz w:val="24"/>
          <w:szCs w:val="24"/>
        </w:rPr>
        <w:t xml:space="preserve"> community landscape that enhances full community participation will require </w:t>
      </w:r>
      <w:r w:rsidR="00CA509A" w:rsidRPr="00100E9E">
        <w:rPr>
          <w:rFonts w:eastAsia="Times New Roman" w:cs="Times New Roman"/>
          <w:sz w:val="24"/>
          <w:szCs w:val="24"/>
        </w:rPr>
        <w:t xml:space="preserve">greater capacity, </w:t>
      </w:r>
      <w:r w:rsidR="00CD5E26" w:rsidRPr="00100E9E">
        <w:rPr>
          <w:rFonts w:eastAsia="Times New Roman" w:cs="Times New Roman"/>
          <w:sz w:val="24"/>
          <w:szCs w:val="24"/>
        </w:rPr>
        <w:t xml:space="preserve">changed </w:t>
      </w:r>
      <w:r w:rsidR="00CA509A" w:rsidRPr="00100E9E">
        <w:rPr>
          <w:rFonts w:eastAsia="Times New Roman" w:cs="Times New Roman"/>
          <w:sz w:val="24"/>
          <w:szCs w:val="24"/>
        </w:rPr>
        <w:t xml:space="preserve">community and state </w:t>
      </w:r>
      <w:r w:rsidR="00CD5E26" w:rsidRPr="00100E9E">
        <w:rPr>
          <w:rFonts w:eastAsia="Times New Roman" w:cs="Times New Roman"/>
          <w:sz w:val="24"/>
          <w:szCs w:val="24"/>
        </w:rPr>
        <w:t>conditions</w:t>
      </w:r>
      <w:r w:rsidR="00CA509A" w:rsidRPr="00100E9E">
        <w:rPr>
          <w:rFonts w:eastAsia="Times New Roman" w:cs="Times New Roman"/>
          <w:sz w:val="24"/>
          <w:szCs w:val="24"/>
        </w:rPr>
        <w:t>,</w:t>
      </w:r>
      <w:r w:rsidR="00CD5E26" w:rsidRPr="00100E9E">
        <w:rPr>
          <w:rFonts w:eastAsia="Times New Roman" w:cs="Times New Roman"/>
          <w:sz w:val="24"/>
          <w:szCs w:val="24"/>
        </w:rPr>
        <w:t xml:space="preserve"> and renewed community willingness to take action.</w:t>
      </w:r>
      <w:r w:rsidR="00EC3E5B" w:rsidRPr="00100E9E">
        <w:rPr>
          <w:rFonts w:eastAsia="Times New Roman" w:cs="Times New Roman"/>
          <w:sz w:val="24"/>
          <w:szCs w:val="24"/>
        </w:rPr>
        <w:t xml:space="preserve">  </w:t>
      </w:r>
    </w:p>
    <w:p w:rsidR="00532B29" w:rsidRPr="00100E9E" w:rsidRDefault="00194773" w:rsidP="007F12E7">
      <w:pPr>
        <w:spacing w:after="120"/>
        <w:rPr>
          <w:rFonts w:eastAsia="Times New Roman" w:cs="Times New Roman"/>
          <w:sz w:val="24"/>
          <w:szCs w:val="24"/>
        </w:rPr>
      </w:pPr>
      <w:r>
        <w:rPr>
          <w:rFonts w:eastAsia="Times New Roman" w:cs="Times New Roman"/>
          <w:sz w:val="24"/>
          <w:szCs w:val="24"/>
        </w:rPr>
        <w:t xml:space="preserve">Recommendations based on this study’s findings promote CIL capacity to enhance their capacity to change conditions for people with disabilities in the communities they serve. </w:t>
      </w:r>
    </w:p>
    <w:p w:rsidR="00B40D80" w:rsidRDefault="00B40D80" w:rsidP="007F12E7">
      <w:pPr>
        <w:spacing w:after="120"/>
        <w:rPr>
          <w:rFonts w:cs="Times New Roman"/>
          <w:sz w:val="24"/>
          <w:szCs w:val="24"/>
          <w:u w:val="single"/>
        </w:rPr>
      </w:pPr>
      <w:r w:rsidRPr="00100E9E">
        <w:rPr>
          <w:rFonts w:cs="Times New Roman"/>
          <w:sz w:val="24"/>
          <w:szCs w:val="24"/>
          <w:u w:val="single"/>
        </w:rPr>
        <w:t>Recommendations</w:t>
      </w:r>
    </w:p>
    <w:p w:rsidR="00C146D3" w:rsidRPr="00D05EC4" w:rsidRDefault="00C146D3" w:rsidP="007F12E7">
      <w:pPr>
        <w:spacing w:after="120"/>
        <w:rPr>
          <w:rFonts w:cs="Times New Roman"/>
          <w:sz w:val="24"/>
          <w:szCs w:val="24"/>
        </w:rPr>
      </w:pPr>
      <w:r w:rsidRPr="00D05EC4">
        <w:rPr>
          <w:rFonts w:cs="Times New Roman"/>
          <w:sz w:val="24"/>
          <w:szCs w:val="24"/>
        </w:rPr>
        <w:t>In order to fulfill NIDLRR’s second mission statement to “</w:t>
      </w:r>
      <w:r w:rsidR="00D05EC4" w:rsidRPr="00D05EC4">
        <w:rPr>
          <w:rFonts w:cs="Times New Roman"/>
          <w:bCs/>
          <w:sz w:val="24"/>
          <w:szCs w:val="24"/>
        </w:rPr>
        <w:t>Expand society’s capacity to provide full opportunities and accommodations for its citizens with disabilities</w:t>
      </w:r>
      <w:r w:rsidR="00D05EC4">
        <w:rPr>
          <w:rFonts w:cs="Times New Roman"/>
          <w:bCs/>
          <w:sz w:val="24"/>
          <w:szCs w:val="24"/>
        </w:rPr>
        <w:t>” CILs should:</w:t>
      </w:r>
    </w:p>
    <w:p w:rsidR="00874998" w:rsidRPr="00100E9E" w:rsidRDefault="00874998" w:rsidP="007F12E7">
      <w:pPr>
        <w:pStyle w:val="ListParagraph"/>
        <w:numPr>
          <w:ilvl w:val="0"/>
          <w:numId w:val="12"/>
        </w:numPr>
        <w:spacing w:after="120" w:line="480" w:lineRule="auto"/>
        <w:rPr>
          <w:rFonts w:cs="Times New Roman"/>
          <w:sz w:val="24"/>
          <w:szCs w:val="24"/>
        </w:rPr>
      </w:pPr>
      <w:r w:rsidRPr="00100E9E">
        <w:rPr>
          <w:rFonts w:cs="Times New Roman"/>
          <w:sz w:val="24"/>
          <w:szCs w:val="24"/>
        </w:rPr>
        <w:t>Build staff competencies for community change</w:t>
      </w:r>
    </w:p>
    <w:p w:rsidR="00DE3452" w:rsidRPr="00100E9E" w:rsidRDefault="00DE3452" w:rsidP="007F12E7">
      <w:pPr>
        <w:pStyle w:val="ListParagraph"/>
        <w:numPr>
          <w:ilvl w:val="0"/>
          <w:numId w:val="12"/>
        </w:numPr>
        <w:spacing w:after="120" w:line="480" w:lineRule="auto"/>
        <w:rPr>
          <w:rFonts w:cs="Times New Roman"/>
          <w:sz w:val="24"/>
          <w:szCs w:val="24"/>
        </w:rPr>
      </w:pPr>
      <w:r w:rsidRPr="00100E9E">
        <w:rPr>
          <w:rFonts w:cs="Times New Roman"/>
          <w:sz w:val="24"/>
          <w:szCs w:val="24"/>
        </w:rPr>
        <w:t>Develop and support collaborative action partnerships</w:t>
      </w:r>
    </w:p>
    <w:p w:rsidR="00DE3452" w:rsidRPr="00100E9E" w:rsidRDefault="00DE3452" w:rsidP="007F12E7">
      <w:pPr>
        <w:pStyle w:val="ListParagraph"/>
        <w:numPr>
          <w:ilvl w:val="0"/>
          <w:numId w:val="12"/>
        </w:numPr>
        <w:spacing w:after="120" w:line="480" w:lineRule="auto"/>
        <w:rPr>
          <w:rFonts w:cs="Times New Roman"/>
          <w:sz w:val="24"/>
          <w:szCs w:val="24"/>
        </w:rPr>
      </w:pPr>
      <w:r w:rsidRPr="00100E9E">
        <w:rPr>
          <w:rFonts w:cs="Times New Roman"/>
          <w:sz w:val="24"/>
          <w:szCs w:val="24"/>
        </w:rPr>
        <w:t xml:space="preserve">Implement action plans developed by </w:t>
      </w:r>
      <w:r w:rsidR="00B22EF8">
        <w:rPr>
          <w:rFonts w:cs="Times New Roman"/>
          <w:sz w:val="24"/>
          <w:szCs w:val="24"/>
        </w:rPr>
        <w:t>community</w:t>
      </w:r>
      <w:r w:rsidRPr="00100E9E">
        <w:rPr>
          <w:rFonts w:cs="Times New Roman"/>
          <w:sz w:val="24"/>
          <w:szCs w:val="24"/>
        </w:rPr>
        <w:t xml:space="preserve"> partnership</w:t>
      </w:r>
      <w:r w:rsidR="00B22EF8">
        <w:rPr>
          <w:rFonts w:cs="Times New Roman"/>
          <w:sz w:val="24"/>
          <w:szCs w:val="24"/>
        </w:rPr>
        <w:t>s</w:t>
      </w:r>
      <w:r w:rsidR="007622D9">
        <w:rPr>
          <w:rFonts w:cs="Times New Roman"/>
          <w:sz w:val="24"/>
          <w:szCs w:val="24"/>
        </w:rPr>
        <w:t xml:space="preserve">. </w:t>
      </w:r>
    </w:p>
    <w:p w:rsidR="00DE3452" w:rsidRPr="00100E9E" w:rsidRDefault="00D05EC4" w:rsidP="007F12E7">
      <w:pPr>
        <w:pStyle w:val="ListParagraph"/>
        <w:numPr>
          <w:ilvl w:val="0"/>
          <w:numId w:val="12"/>
        </w:numPr>
        <w:spacing w:after="120" w:line="480" w:lineRule="auto"/>
        <w:rPr>
          <w:rFonts w:cs="Times New Roman"/>
          <w:sz w:val="24"/>
          <w:szCs w:val="24"/>
        </w:rPr>
      </w:pPr>
      <w:r>
        <w:rPr>
          <w:rFonts w:cs="Times New Roman"/>
          <w:sz w:val="24"/>
          <w:szCs w:val="24"/>
        </w:rPr>
        <w:t>P</w:t>
      </w:r>
      <w:r w:rsidR="00DE3452" w:rsidRPr="00100E9E">
        <w:rPr>
          <w:rFonts w:cs="Times New Roman"/>
          <w:sz w:val="24"/>
          <w:szCs w:val="24"/>
        </w:rPr>
        <w:t>rovid</w:t>
      </w:r>
      <w:r>
        <w:rPr>
          <w:rFonts w:cs="Times New Roman"/>
          <w:sz w:val="24"/>
          <w:szCs w:val="24"/>
        </w:rPr>
        <w:t xml:space="preserve">e leadership and facilitate comprehensive </w:t>
      </w:r>
      <w:r w:rsidR="00A4122D" w:rsidRPr="00100E9E">
        <w:rPr>
          <w:rFonts w:cs="Times New Roman"/>
          <w:sz w:val="24"/>
          <w:szCs w:val="24"/>
        </w:rPr>
        <w:t>multisector</w:t>
      </w:r>
      <w:r w:rsidR="00DE3452" w:rsidRPr="00100E9E">
        <w:rPr>
          <w:rFonts w:cs="Times New Roman"/>
          <w:sz w:val="24"/>
          <w:szCs w:val="24"/>
        </w:rPr>
        <w:t xml:space="preserve"> effort</w:t>
      </w:r>
      <w:r>
        <w:rPr>
          <w:rFonts w:cs="Times New Roman"/>
          <w:sz w:val="24"/>
          <w:szCs w:val="24"/>
        </w:rPr>
        <w:t>s</w:t>
      </w:r>
    </w:p>
    <w:p w:rsidR="00DE3452" w:rsidRPr="00100E9E" w:rsidRDefault="00DE3452" w:rsidP="007F12E7">
      <w:pPr>
        <w:pStyle w:val="ListParagraph"/>
        <w:numPr>
          <w:ilvl w:val="0"/>
          <w:numId w:val="12"/>
        </w:numPr>
        <w:spacing w:after="120" w:line="480" w:lineRule="auto"/>
        <w:rPr>
          <w:rFonts w:cs="Times New Roman"/>
          <w:sz w:val="24"/>
          <w:szCs w:val="24"/>
        </w:rPr>
      </w:pPr>
      <w:r w:rsidRPr="00100E9E">
        <w:rPr>
          <w:rFonts w:cs="Times New Roman"/>
          <w:sz w:val="24"/>
          <w:szCs w:val="24"/>
        </w:rPr>
        <w:t>Offer seed resource</w:t>
      </w:r>
      <w:r w:rsidR="00F8361D" w:rsidRPr="00100E9E">
        <w:rPr>
          <w:rFonts w:cs="Times New Roman"/>
          <w:sz w:val="24"/>
          <w:szCs w:val="24"/>
        </w:rPr>
        <w:t>s to stimulate community change</w:t>
      </w:r>
      <w:r w:rsidRPr="00100E9E">
        <w:rPr>
          <w:rFonts w:cs="Times New Roman"/>
          <w:sz w:val="24"/>
          <w:szCs w:val="24"/>
        </w:rPr>
        <w:t xml:space="preserve"> </w:t>
      </w:r>
    </w:p>
    <w:p w:rsidR="00DE3452" w:rsidRPr="00100E9E" w:rsidRDefault="00DE3452" w:rsidP="007F12E7">
      <w:pPr>
        <w:pStyle w:val="ListParagraph"/>
        <w:numPr>
          <w:ilvl w:val="0"/>
          <w:numId w:val="12"/>
        </w:numPr>
        <w:spacing w:after="120" w:line="480" w:lineRule="auto"/>
        <w:rPr>
          <w:rFonts w:cs="Times New Roman"/>
          <w:sz w:val="24"/>
          <w:szCs w:val="24"/>
        </w:rPr>
      </w:pPr>
      <w:r w:rsidRPr="00100E9E">
        <w:rPr>
          <w:rFonts w:cs="Times New Roman"/>
          <w:sz w:val="24"/>
          <w:szCs w:val="24"/>
        </w:rPr>
        <w:t xml:space="preserve">Document and evaluate </w:t>
      </w:r>
      <w:r w:rsidR="00D05EC4">
        <w:rPr>
          <w:rFonts w:cs="Times New Roman"/>
          <w:sz w:val="24"/>
          <w:szCs w:val="24"/>
        </w:rPr>
        <w:t xml:space="preserve">community change </w:t>
      </w:r>
      <w:r w:rsidRPr="00100E9E">
        <w:rPr>
          <w:rFonts w:cs="Times New Roman"/>
          <w:sz w:val="24"/>
          <w:szCs w:val="24"/>
        </w:rPr>
        <w:t>efforts</w:t>
      </w:r>
      <w:r w:rsidR="00267299">
        <w:rPr>
          <w:rFonts w:cs="Times New Roman"/>
          <w:sz w:val="24"/>
          <w:szCs w:val="24"/>
        </w:rPr>
        <w:t xml:space="preserve"> </w:t>
      </w:r>
    </w:p>
    <w:p w:rsidR="007F12E7" w:rsidRDefault="007F12E7">
      <w:pPr>
        <w:rPr>
          <w:rFonts w:cs="Times New Roman"/>
          <w:sz w:val="24"/>
          <w:szCs w:val="24"/>
        </w:rPr>
      </w:pPr>
      <w:r>
        <w:rPr>
          <w:rFonts w:cs="Times New Roman"/>
          <w:sz w:val="24"/>
          <w:szCs w:val="24"/>
        </w:rPr>
        <w:br w:type="page"/>
      </w:r>
    </w:p>
    <w:p w:rsidR="00A5258F" w:rsidRDefault="007F12E7" w:rsidP="00A5258F">
      <w:pPr>
        <w:spacing w:after="0" w:line="480" w:lineRule="auto"/>
        <w:rPr>
          <w:rFonts w:cs="Times New Roman"/>
          <w:sz w:val="24"/>
          <w:szCs w:val="24"/>
          <w:u w:val="single"/>
        </w:rPr>
      </w:pPr>
      <w:r>
        <w:rPr>
          <w:rFonts w:cs="Times New Roman"/>
          <w:sz w:val="24"/>
          <w:szCs w:val="24"/>
          <w:u w:val="single"/>
        </w:rPr>
        <w:lastRenderedPageBreak/>
        <w:t>R</w:t>
      </w:r>
      <w:r w:rsidR="00A5258F" w:rsidRPr="00100E9E">
        <w:rPr>
          <w:rFonts w:cs="Times New Roman"/>
          <w:sz w:val="24"/>
          <w:szCs w:val="24"/>
          <w:u w:val="single"/>
        </w:rPr>
        <w:t>eferences</w:t>
      </w:r>
    </w:p>
    <w:p w:rsidR="00A5258F" w:rsidRPr="005C371F" w:rsidRDefault="00A5258F" w:rsidP="007F12E7">
      <w:pPr>
        <w:spacing w:line="276" w:lineRule="auto"/>
        <w:ind w:left="720" w:hanging="720"/>
        <w:rPr>
          <w:rFonts w:eastAsia="Times New Roman" w:cstheme="minorHAnsi"/>
        </w:rPr>
      </w:pPr>
      <w:r w:rsidRPr="005C371F">
        <w:rPr>
          <w:rFonts w:eastAsia="Times New Roman" w:cstheme="minorHAnsi"/>
        </w:rPr>
        <w:t xml:space="preserve">Fawcett, S. B., Schultz, J. A., Holt, C. M., Collie-Akers, V., &amp; Watson-Thompson, J. (2013). Participatory research and capacity building for community health and development. </w:t>
      </w:r>
      <w:r w:rsidRPr="005C371F">
        <w:rPr>
          <w:rFonts w:eastAsia="Times New Roman" w:cstheme="minorHAnsi"/>
          <w:i/>
          <w:iCs/>
        </w:rPr>
        <w:t>Journal of prevention &amp; intervention in the community</w:t>
      </w:r>
      <w:r w:rsidRPr="005C371F">
        <w:rPr>
          <w:rFonts w:eastAsia="Times New Roman" w:cstheme="minorHAnsi"/>
        </w:rPr>
        <w:t xml:space="preserve">, </w:t>
      </w:r>
      <w:r w:rsidRPr="005C371F">
        <w:rPr>
          <w:rFonts w:eastAsia="Times New Roman" w:cstheme="minorHAnsi"/>
          <w:i/>
          <w:iCs/>
        </w:rPr>
        <w:t>41</w:t>
      </w:r>
      <w:r w:rsidRPr="005C371F">
        <w:rPr>
          <w:rFonts w:eastAsia="Times New Roman" w:cstheme="minorHAnsi"/>
        </w:rPr>
        <w:t>(3), 139-141.</w:t>
      </w:r>
    </w:p>
    <w:p w:rsidR="00A5258F" w:rsidRDefault="00A5258F" w:rsidP="007F12E7">
      <w:pPr>
        <w:spacing w:line="276" w:lineRule="auto"/>
        <w:ind w:left="720" w:hanging="720"/>
        <w:rPr>
          <w:rFonts w:eastAsia="Times New Roman" w:cstheme="minorHAnsi"/>
        </w:rPr>
      </w:pPr>
      <w:r w:rsidRPr="00CD0D4D">
        <w:rPr>
          <w:rFonts w:eastAsia="Times New Roman" w:cstheme="minorHAnsi"/>
        </w:rPr>
        <w:t xml:space="preserve">Gallagher, P., O’Donovan, M. A., Doyle, A., &amp; Desmond, D. (2011). Environmental barriers, activity limitations and participation restrictions experienced by people with major limb amputation. </w:t>
      </w:r>
      <w:r w:rsidRPr="00D05EC4">
        <w:rPr>
          <w:rFonts w:eastAsia="Times New Roman" w:cstheme="minorHAnsi"/>
        </w:rPr>
        <w:t>Prosthetics and orthotics international</w:t>
      </w:r>
      <w:r w:rsidRPr="00CD0D4D">
        <w:rPr>
          <w:rFonts w:eastAsia="Times New Roman" w:cstheme="minorHAnsi"/>
        </w:rPr>
        <w:t xml:space="preserve">, </w:t>
      </w:r>
      <w:r w:rsidRPr="00D05EC4">
        <w:rPr>
          <w:rFonts w:eastAsia="Times New Roman" w:cstheme="minorHAnsi"/>
        </w:rPr>
        <w:t>35</w:t>
      </w:r>
      <w:r w:rsidRPr="00CD0D4D">
        <w:rPr>
          <w:rFonts w:eastAsia="Times New Roman" w:cstheme="minorHAnsi"/>
        </w:rPr>
        <w:t>(3), 278-284.</w:t>
      </w:r>
    </w:p>
    <w:p w:rsidR="00A5258F" w:rsidRPr="00CD0D4D" w:rsidRDefault="00A5258F" w:rsidP="007F12E7">
      <w:pPr>
        <w:spacing w:line="276" w:lineRule="auto"/>
        <w:ind w:left="720" w:hanging="720"/>
        <w:rPr>
          <w:rFonts w:eastAsia="Times New Roman" w:cstheme="minorHAnsi"/>
        </w:rPr>
      </w:pPr>
      <w:r w:rsidRPr="00D05EC4">
        <w:rPr>
          <w:rFonts w:eastAsia="Times New Roman" w:cstheme="minorHAnsi"/>
        </w:rPr>
        <w:t>Greiman, L., &amp; Ravesloot, C. (2016). Housing characteristics of households with wheeled mobility device users from the American Housing Survey: do people live in homes that facilitate community participation? Community Development, 47(1), 63-74.</w:t>
      </w:r>
    </w:p>
    <w:p w:rsidR="00A5258F" w:rsidRDefault="00A5258F" w:rsidP="007F12E7">
      <w:pPr>
        <w:spacing w:line="276" w:lineRule="auto"/>
        <w:ind w:left="720" w:hanging="720"/>
        <w:rPr>
          <w:rFonts w:eastAsia="Times New Roman" w:cstheme="minorHAnsi"/>
        </w:rPr>
      </w:pPr>
      <w:r w:rsidRPr="00B23EFC">
        <w:rPr>
          <w:rFonts w:eastAsia="Times New Roman" w:cstheme="minorHAnsi"/>
        </w:rPr>
        <w:t xml:space="preserve">Hammel, J., Jones, R., Gossett, A., &amp; Morgan, E. (2015). Examining barriers and supports to community living and participation after a stroke from a participatory action research approach. </w:t>
      </w:r>
      <w:r w:rsidRPr="00D05EC4">
        <w:rPr>
          <w:rFonts w:eastAsia="Times New Roman" w:cstheme="minorHAnsi"/>
        </w:rPr>
        <w:t>Topics in Stroke Rehabilitation</w:t>
      </w:r>
      <w:r w:rsidRPr="00B23EFC">
        <w:rPr>
          <w:rFonts w:eastAsia="Times New Roman" w:cstheme="minorHAnsi"/>
        </w:rPr>
        <w:t>.</w:t>
      </w:r>
    </w:p>
    <w:p w:rsidR="00A5258F" w:rsidRPr="00D05EC4" w:rsidRDefault="00A5258F" w:rsidP="00D05EC4">
      <w:pPr>
        <w:spacing w:line="276" w:lineRule="auto"/>
        <w:ind w:left="720" w:hanging="720"/>
        <w:rPr>
          <w:rFonts w:eastAsia="Times New Roman" w:cstheme="minorHAnsi"/>
        </w:rPr>
      </w:pPr>
      <w:r w:rsidRPr="00D05EC4">
        <w:rPr>
          <w:rFonts w:eastAsia="Times New Roman" w:cstheme="minorHAnsi"/>
        </w:rPr>
        <w:t>Harris Interactive. Survey of employment of Americans with disabilities. New York, NY:</w:t>
      </w:r>
      <w:r w:rsidR="007F12E7" w:rsidRPr="00D05EC4">
        <w:rPr>
          <w:rFonts w:eastAsia="Times New Roman" w:cstheme="minorHAnsi"/>
        </w:rPr>
        <w:t xml:space="preserve"> </w:t>
      </w:r>
      <w:r w:rsidRPr="00D05EC4">
        <w:rPr>
          <w:rFonts w:eastAsia="Times New Roman" w:cstheme="minorHAnsi"/>
        </w:rPr>
        <w:t>Kessler Foundation and National Organization on Disability, 2010.</w:t>
      </w:r>
    </w:p>
    <w:p w:rsidR="00A5258F" w:rsidRPr="007F12E7" w:rsidRDefault="00A5258F" w:rsidP="00D05EC4">
      <w:pPr>
        <w:spacing w:line="276" w:lineRule="auto"/>
        <w:ind w:left="720" w:hanging="720"/>
        <w:rPr>
          <w:rFonts w:eastAsia="Times New Roman" w:cstheme="minorHAnsi"/>
        </w:rPr>
      </w:pPr>
      <w:r w:rsidRPr="00D05EC4">
        <w:rPr>
          <w:rFonts w:eastAsia="Times New Roman" w:cstheme="minorHAnsi"/>
        </w:rPr>
        <w:t>Institute of Medicine. Community. In: Medicine Io, editor. The future of the public’s</w:t>
      </w:r>
      <w:r w:rsidR="007F12E7">
        <w:rPr>
          <w:rFonts w:eastAsia="Times New Roman" w:cstheme="minorHAnsi"/>
        </w:rPr>
        <w:t xml:space="preserve"> </w:t>
      </w:r>
      <w:r w:rsidR="007F12E7" w:rsidRPr="00D05EC4">
        <w:rPr>
          <w:rFonts w:eastAsia="Times New Roman" w:cstheme="minorHAnsi"/>
        </w:rPr>
        <w:t>H</w:t>
      </w:r>
      <w:r w:rsidRPr="00D05EC4">
        <w:rPr>
          <w:rFonts w:eastAsia="Times New Roman" w:cstheme="minorHAnsi"/>
        </w:rPr>
        <w:t>ealth in the 21st century. Washington, D.C.: National Academies Press; 2003. p. 178-211.</w:t>
      </w:r>
    </w:p>
    <w:p w:rsidR="00A5258F" w:rsidRPr="009D23D0" w:rsidRDefault="00A5258F" w:rsidP="007F12E7">
      <w:pPr>
        <w:spacing w:line="276" w:lineRule="auto"/>
        <w:ind w:left="720" w:hanging="720"/>
        <w:rPr>
          <w:rFonts w:eastAsia="Times New Roman" w:cstheme="minorHAnsi"/>
        </w:rPr>
      </w:pPr>
      <w:r w:rsidRPr="009D23D0">
        <w:rPr>
          <w:rFonts w:eastAsia="Times New Roman" w:cstheme="minorHAnsi"/>
        </w:rPr>
        <w:t xml:space="preserve">Jacobson, M. R., Azzam, T., &amp; Baez, J. G. (2013). The nature and frequency of inclusion of people with disabilities in program evaluation. </w:t>
      </w:r>
      <w:r w:rsidRPr="00D05EC4">
        <w:rPr>
          <w:rFonts w:eastAsia="Times New Roman" w:cstheme="minorHAnsi"/>
        </w:rPr>
        <w:t>American Journal of Evaluation</w:t>
      </w:r>
      <w:r w:rsidRPr="009D23D0">
        <w:rPr>
          <w:rFonts w:eastAsia="Times New Roman" w:cstheme="minorHAnsi"/>
        </w:rPr>
        <w:t xml:space="preserve">, </w:t>
      </w:r>
      <w:r w:rsidRPr="00D05EC4">
        <w:rPr>
          <w:rFonts w:eastAsia="Times New Roman" w:cstheme="minorHAnsi"/>
        </w:rPr>
        <w:t>34</w:t>
      </w:r>
      <w:r w:rsidRPr="009D23D0">
        <w:rPr>
          <w:rFonts w:eastAsia="Times New Roman" w:cstheme="minorHAnsi"/>
        </w:rPr>
        <w:t>(1), 23-44.</w:t>
      </w:r>
    </w:p>
    <w:p w:rsidR="00A5258F" w:rsidRPr="0038207E" w:rsidRDefault="00A5258F" w:rsidP="007F12E7">
      <w:pPr>
        <w:spacing w:line="276" w:lineRule="auto"/>
        <w:ind w:left="720" w:hanging="720"/>
        <w:rPr>
          <w:rFonts w:eastAsia="Times New Roman" w:cstheme="minorHAnsi"/>
        </w:rPr>
      </w:pPr>
      <w:r w:rsidRPr="0038207E">
        <w:rPr>
          <w:rFonts w:eastAsia="Times New Roman" w:cstheme="minorHAnsi"/>
        </w:rPr>
        <w:t xml:space="preserve">Jans, L. H., Kaye, H. S., &amp; Jones, E. C. (2012). Getting hired: successfully employed people with disabilities offer advice on disclosure, interviewing, and job search. </w:t>
      </w:r>
      <w:r w:rsidRPr="00D05EC4">
        <w:rPr>
          <w:rFonts w:eastAsia="Times New Roman" w:cstheme="minorHAnsi"/>
        </w:rPr>
        <w:t>Journal of occupational rehabilitation</w:t>
      </w:r>
      <w:r w:rsidRPr="0038207E">
        <w:rPr>
          <w:rFonts w:eastAsia="Times New Roman" w:cstheme="minorHAnsi"/>
        </w:rPr>
        <w:t xml:space="preserve">, </w:t>
      </w:r>
      <w:r w:rsidRPr="00D05EC4">
        <w:rPr>
          <w:rFonts w:eastAsia="Times New Roman" w:cstheme="minorHAnsi"/>
        </w:rPr>
        <w:t>22</w:t>
      </w:r>
      <w:r w:rsidRPr="0038207E">
        <w:rPr>
          <w:rFonts w:eastAsia="Times New Roman" w:cstheme="minorHAnsi"/>
        </w:rPr>
        <w:t>(2), 155-165.</w:t>
      </w:r>
    </w:p>
    <w:p w:rsidR="00A5258F" w:rsidRPr="00D05EC4" w:rsidRDefault="00A5258F" w:rsidP="00D05EC4">
      <w:pPr>
        <w:spacing w:line="276" w:lineRule="auto"/>
        <w:ind w:left="720" w:hanging="720"/>
        <w:rPr>
          <w:rFonts w:eastAsia="Times New Roman" w:cstheme="minorHAnsi"/>
        </w:rPr>
      </w:pPr>
      <w:r w:rsidRPr="00D05EC4">
        <w:rPr>
          <w:rFonts w:eastAsia="Times New Roman" w:cstheme="minorHAnsi"/>
        </w:rPr>
        <w:t>Kaye, H. S., Jans, L. H., &amp; Jones, E. C. (2011). Why don’t employers hire and retain workers with disabilities? Journal of occupational rehabilitation, 21(4), 526-536.\</w:t>
      </w:r>
    </w:p>
    <w:p w:rsidR="00A5258F" w:rsidRPr="00D05EC4" w:rsidRDefault="00A5258F" w:rsidP="00D05EC4">
      <w:pPr>
        <w:spacing w:line="276" w:lineRule="auto"/>
        <w:ind w:left="720" w:hanging="720"/>
        <w:rPr>
          <w:rFonts w:eastAsia="Times New Roman" w:cstheme="minorHAnsi"/>
        </w:rPr>
      </w:pPr>
      <w:r w:rsidRPr="00D05EC4">
        <w:rPr>
          <w:rFonts w:eastAsia="Times New Roman" w:cstheme="minorHAnsi"/>
        </w:rPr>
        <w:t>Kessler Foundation &amp; National Organization on Disability. The ADA 20 years later: The</w:t>
      </w:r>
      <w:r w:rsidR="00D05EC4">
        <w:rPr>
          <w:rFonts w:eastAsia="Times New Roman" w:cstheme="minorHAnsi"/>
        </w:rPr>
        <w:t xml:space="preserve"> </w:t>
      </w:r>
      <w:r w:rsidRPr="00D05EC4">
        <w:rPr>
          <w:rFonts w:eastAsia="Times New Roman" w:cstheme="minorHAnsi"/>
        </w:rPr>
        <w:t>Kessler Foundation/NOD 2010 Survey of Americans with Disabilities. 2010.</w:t>
      </w:r>
    </w:p>
    <w:p w:rsidR="00A5258F" w:rsidRPr="0038207E" w:rsidRDefault="00A5258F" w:rsidP="007F12E7">
      <w:pPr>
        <w:spacing w:line="276" w:lineRule="auto"/>
        <w:ind w:left="720" w:hanging="720"/>
        <w:rPr>
          <w:rFonts w:eastAsia="Times New Roman" w:cstheme="minorHAnsi"/>
        </w:rPr>
      </w:pPr>
      <w:r w:rsidRPr="0038207E">
        <w:rPr>
          <w:rFonts w:eastAsia="Times New Roman" w:cstheme="minorHAnsi"/>
        </w:rPr>
        <w:t xml:space="preserve">Myers, A., &amp; Ravesloot, C. (2016). Navigating time and space: how Americans with disabilities use time and transportation. </w:t>
      </w:r>
      <w:r w:rsidRPr="00D05EC4">
        <w:rPr>
          <w:rFonts w:eastAsia="Times New Roman" w:cstheme="minorHAnsi"/>
        </w:rPr>
        <w:t>Community Development</w:t>
      </w:r>
      <w:r w:rsidRPr="0038207E">
        <w:rPr>
          <w:rFonts w:eastAsia="Times New Roman" w:cstheme="minorHAnsi"/>
        </w:rPr>
        <w:t xml:space="preserve">, </w:t>
      </w:r>
      <w:r w:rsidRPr="00D05EC4">
        <w:rPr>
          <w:rFonts w:eastAsia="Times New Roman" w:cstheme="minorHAnsi"/>
        </w:rPr>
        <w:t>47</w:t>
      </w:r>
      <w:r w:rsidRPr="0038207E">
        <w:rPr>
          <w:rFonts w:eastAsia="Times New Roman" w:cstheme="minorHAnsi"/>
        </w:rPr>
        <w:t>(1), 75-90.</w:t>
      </w:r>
    </w:p>
    <w:p w:rsidR="00A5258F" w:rsidRDefault="00A5258F" w:rsidP="00D05EC4">
      <w:pPr>
        <w:spacing w:line="276" w:lineRule="auto"/>
        <w:ind w:left="720" w:hanging="720"/>
        <w:rPr>
          <w:rFonts w:eastAsia="Times New Roman" w:cstheme="minorHAnsi"/>
        </w:rPr>
      </w:pPr>
      <w:r w:rsidRPr="008A1B52">
        <w:rPr>
          <w:rFonts w:eastAsia="Times New Roman" w:cstheme="minorHAnsi"/>
        </w:rPr>
        <w:t xml:space="preserve">Murray, C. J., Abraham, J., Ali, M. K., Alvarado, M., Atkinson, C., Baddour, L. M., ... &amp; Bolliger, I. (2013). The state of US health, 1990-2010: burden of diseases, injuries, and risk factors. </w:t>
      </w:r>
      <w:r w:rsidRPr="00D05EC4">
        <w:rPr>
          <w:rFonts w:eastAsia="Times New Roman" w:cstheme="minorHAnsi"/>
        </w:rPr>
        <w:t>Jama</w:t>
      </w:r>
      <w:r w:rsidRPr="008A1B52">
        <w:rPr>
          <w:rFonts w:eastAsia="Times New Roman" w:cstheme="minorHAnsi"/>
        </w:rPr>
        <w:t xml:space="preserve">, </w:t>
      </w:r>
      <w:r w:rsidRPr="00D05EC4">
        <w:rPr>
          <w:rFonts w:eastAsia="Times New Roman" w:cstheme="minorHAnsi"/>
        </w:rPr>
        <w:t>310</w:t>
      </w:r>
      <w:r w:rsidRPr="008A1B52">
        <w:rPr>
          <w:rFonts w:eastAsia="Times New Roman" w:cstheme="minorHAnsi"/>
        </w:rPr>
        <w:t>(6), 591-606.</w:t>
      </w:r>
    </w:p>
    <w:p w:rsidR="00A5258F" w:rsidRDefault="00A5258F" w:rsidP="00D05EC4">
      <w:pPr>
        <w:spacing w:line="276" w:lineRule="auto"/>
        <w:ind w:left="720" w:hanging="720"/>
        <w:rPr>
          <w:rFonts w:eastAsia="Times New Roman" w:cstheme="minorHAnsi"/>
        </w:rPr>
      </w:pPr>
      <w:r w:rsidRPr="00207C76">
        <w:rPr>
          <w:rFonts w:eastAsia="Times New Roman" w:cstheme="minorHAnsi"/>
        </w:rPr>
        <w:t xml:space="preserve">Nafukho, F. M., Roessler, R. T., &amp; Kacirek, K. (2010). Disability as a diversity factor: Implications for human resource practices. </w:t>
      </w:r>
      <w:r w:rsidRPr="00D05EC4">
        <w:rPr>
          <w:rFonts w:eastAsia="Times New Roman" w:cstheme="minorHAnsi"/>
        </w:rPr>
        <w:t>Advances in Developing Human Resources</w:t>
      </w:r>
      <w:r w:rsidRPr="00207C76">
        <w:rPr>
          <w:rFonts w:eastAsia="Times New Roman" w:cstheme="minorHAnsi"/>
        </w:rPr>
        <w:t xml:space="preserve">, </w:t>
      </w:r>
      <w:r w:rsidRPr="00D05EC4">
        <w:rPr>
          <w:rFonts w:eastAsia="Times New Roman" w:cstheme="minorHAnsi"/>
        </w:rPr>
        <w:t>12</w:t>
      </w:r>
      <w:r w:rsidRPr="00207C76">
        <w:rPr>
          <w:rFonts w:eastAsia="Times New Roman" w:cstheme="minorHAnsi"/>
        </w:rPr>
        <w:t>(4), 395-406.</w:t>
      </w:r>
    </w:p>
    <w:p w:rsidR="00A5258F" w:rsidRPr="00EF430B" w:rsidRDefault="00A5258F" w:rsidP="00D05EC4">
      <w:pPr>
        <w:spacing w:line="276" w:lineRule="auto"/>
        <w:ind w:left="720" w:hanging="720"/>
        <w:rPr>
          <w:rFonts w:eastAsia="Times New Roman" w:cstheme="minorHAnsi"/>
        </w:rPr>
      </w:pPr>
      <w:r w:rsidRPr="0038207E">
        <w:rPr>
          <w:rFonts w:eastAsia="Times New Roman" w:cstheme="minorHAnsi"/>
        </w:rPr>
        <w:t xml:space="preserve">Newman, S. D. (2010). Evidence‐Based Advocacy: Using Photovoice to Identify Barriers and Facilitators to Community Participation After Spinal Cord Injury. </w:t>
      </w:r>
      <w:r w:rsidRPr="00D05EC4">
        <w:rPr>
          <w:rFonts w:eastAsia="Times New Roman" w:cstheme="minorHAnsi"/>
        </w:rPr>
        <w:t>Rehabilitation Nursing</w:t>
      </w:r>
      <w:r w:rsidRPr="0038207E">
        <w:rPr>
          <w:rFonts w:eastAsia="Times New Roman" w:cstheme="minorHAnsi"/>
        </w:rPr>
        <w:t xml:space="preserve">, </w:t>
      </w:r>
      <w:r w:rsidRPr="00D05EC4">
        <w:rPr>
          <w:rFonts w:eastAsia="Times New Roman" w:cstheme="minorHAnsi"/>
        </w:rPr>
        <w:t>35</w:t>
      </w:r>
      <w:r w:rsidRPr="0038207E">
        <w:rPr>
          <w:rFonts w:eastAsia="Times New Roman" w:cstheme="minorHAnsi"/>
        </w:rPr>
        <w:t>(2), 47-59.</w:t>
      </w:r>
    </w:p>
    <w:p w:rsidR="00A5258F" w:rsidRPr="00D05EC4" w:rsidRDefault="00A5258F" w:rsidP="00D05EC4">
      <w:pPr>
        <w:spacing w:line="276" w:lineRule="auto"/>
        <w:ind w:left="720" w:hanging="720"/>
        <w:rPr>
          <w:rFonts w:eastAsia="Times New Roman" w:cstheme="minorHAnsi"/>
        </w:rPr>
      </w:pPr>
      <w:r w:rsidRPr="00D05EC4">
        <w:rPr>
          <w:rFonts w:eastAsia="Times New Roman" w:cstheme="minorHAnsi"/>
        </w:rPr>
        <w:lastRenderedPageBreak/>
        <w:t>Noreau, L., &amp; Boschen, K. (2010). Intersection of participation and environmental factors: a complex interactive process. Archives of physical medicine and rehabilitation, 91(9), S44-S53.</w:t>
      </w:r>
    </w:p>
    <w:p w:rsidR="00A5258F" w:rsidRPr="00026E73" w:rsidRDefault="00A5258F" w:rsidP="00D05EC4">
      <w:pPr>
        <w:spacing w:line="276" w:lineRule="auto"/>
        <w:ind w:left="720" w:hanging="720"/>
        <w:rPr>
          <w:rFonts w:eastAsia="Times New Roman" w:cstheme="minorHAnsi"/>
        </w:rPr>
      </w:pPr>
      <w:r w:rsidRPr="00026E73">
        <w:rPr>
          <w:rFonts w:eastAsia="Times New Roman" w:cstheme="minorHAnsi"/>
        </w:rPr>
        <w:t xml:space="preserve">Ravesloot, C., White, G., &amp; Gonda, C. (2010). Measuring CIL services that improve community participation for people with disabilities. </w:t>
      </w:r>
      <w:r w:rsidRPr="00D05EC4">
        <w:rPr>
          <w:rFonts w:eastAsia="Times New Roman" w:cstheme="minorHAnsi"/>
        </w:rPr>
        <w:t>Disability and Health Journal</w:t>
      </w:r>
      <w:r w:rsidRPr="00026E73">
        <w:rPr>
          <w:rFonts w:eastAsia="Times New Roman" w:cstheme="minorHAnsi"/>
        </w:rPr>
        <w:t xml:space="preserve">, </w:t>
      </w:r>
      <w:r w:rsidRPr="00D05EC4">
        <w:rPr>
          <w:rFonts w:eastAsia="Times New Roman" w:cstheme="minorHAnsi"/>
        </w:rPr>
        <w:t>3</w:t>
      </w:r>
      <w:r w:rsidRPr="00026E73">
        <w:rPr>
          <w:rFonts w:eastAsia="Times New Roman" w:cstheme="minorHAnsi"/>
        </w:rPr>
        <w:t>(2), e8.</w:t>
      </w:r>
    </w:p>
    <w:p w:rsidR="00A5258F" w:rsidRPr="00D05EC4" w:rsidRDefault="00A5258F" w:rsidP="00D05EC4">
      <w:pPr>
        <w:spacing w:line="276" w:lineRule="auto"/>
        <w:ind w:left="720" w:hanging="720"/>
        <w:rPr>
          <w:rFonts w:eastAsia="Times New Roman" w:cstheme="minorHAnsi"/>
        </w:rPr>
      </w:pPr>
      <w:r w:rsidRPr="00D05EC4">
        <w:rPr>
          <w:rFonts w:eastAsia="Times New Roman" w:cstheme="minorHAnsi"/>
        </w:rPr>
        <w:t>Reichard, A., Stolzle, H., &amp; Fox, M.H. (2011). Health Disparities Among Adults with Physical Disabilities or Cognitive Limitations Compared to Individuals with No Disabilities in the United States. Disability and Health Journal, 4(2), 59-67.</w:t>
      </w:r>
    </w:p>
    <w:p w:rsidR="00A5258F" w:rsidRDefault="00A5258F" w:rsidP="00D05EC4">
      <w:pPr>
        <w:spacing w:line="276" w:lineRule="auto"/>
        <w:ind w:left="720" w:hanging="720"/>
        <w:rPr>
          <w:rFonts w:eastAsia="Times New Roman" w:cstheme="minorHAnsi"/>
        </w:rPr>
      </w:pPr>
      <w:r w:rsidRPr="00CE5BFF">
        <w:rPr>
          <w:rFonts w:eastAsia="Times New Roman" w:cstheme="minorHAnsi"/>
        </w:rPr>
        <w:t xml:space="preserve">Rimmer, J. H., &amp; Marques, A. C. (2012). Physical activity for people with disabilities. </w:t>
      </w:r>
      <w:r w:rsidRPr="00D05EC4">
        <w:rPr>
          <w:rFonts w:eastAsia="Times New Roman" w:cstheme="minorHAnsi"/>
        </w:rPr>
        <w:t>The Lancet</w:t>
      </w:r>
      <w:r w:rsidRPr="00CE5BFF">
        <w:rPr>
          <w:rFonts w:eastAsia="Times New Roman" w:cstheme="minorHAnsi"/>
        </w:rPr>
        <w:t xml:space="preserve">, </w:t>
      </w:r>
      <w:r w:rsidRPr="00D05EC4">
        <w:rPr>
          <w:rFonts w:eastAsia="Times New Roman" w:cstheme="minorHAnsi"/>
        </w:rPr>
        <w:t>380</w:t>
      </w:r>
      <w:r w:rsidRPr="00CE5BFF">
        <w:rPr>
          <w:rFonts w:eastAsia="Times New Roman" w:cstheme="minorHAnsi"/>
        </w:rPr>
        <w:t>(9838), 193-195.</w:t>
      </w:r>
    </w:p>
    <w:p w:rsidR="00A5258F" w:rsidRDefault="00A5258F" w:rsidP="00D05EC4">
      <w:pPr>
        <w:spacing w:line="276" w:lineRule="auto"/>
        <w:ind w:left="720" w:hanging="720"/>
        <w:rPr>
          <w:rFonts w:eastAsia="Times New Roman" w:cstheme="minorHAnsi"/>
        </w:rPr>
      </w:pPr>
      <w:r w:rsidRPr="00CD0D4D">
        <w:rPr>
          <w:rFonts w:eastAsia="Times New Roman" w:cstheme="minorHAnsi"/>
        </w:rPr>
        <w:t xml:space="preserve">Shields, N., Synnot, A. J., &amp; Barr, M. (2012). Perceived barriers and facilitators to physical activity for children with disability: a systematic review. </w:t>
      </w:r>
      <w:r w:rsidRPr="00D05EC4">
        <w:rPr>
          <w:rFonts w:eastAsia="Times New Roman" w:cstheme="minorHAnsi"/>
        </w:rPr>
        <w:t>British Journal of Sports Medicine</w:t>
      </w:r>
      <w:r w:rsidRPr="00CD0D4D">
        <w:rPr>
          <w:rFonts w:eastAsia="Times New Roman" w:cstheme="minorHAnsi"/>
        </w:rPr>
        <w:t xml:space="preserve">, </w:t>
      </w:r>
      <w:r w:rsidRPr="00D05EC4">
        <w:rPr>
          <w:rFonts w:eastAsia="Times New Roman" w:cstheme="minorHAnsi"/>
        </w:rPr>
        <w:t>46</w:t>
      </w:r>
      <w:r w:rsidRPr="00CD0D4D">
        <w:rPr>
          <w:rFonts w:eastAsia="Times New Roman" w:cstheme="minorHAnsi"/>
        </w:rPr>
        <w:t>(14), 989-997.</w:t>
      </w:r>
    </w:p>
    <w:p w:rsidR="00A5258F" w:rsidRPr="004F029B" w:rsidRDefault="00A5258F" w:rsidP="00D05EC4">
      <w:pPr>
        <w:spacing w:line="276" w:lineRule="auto"/>
        <w:ind w:left="720" w:hanging="720"/>
        <w:rPr>
          <w:rFonts w:eastAsia="Times New Roman" w:cstheme="minorHAnsi"/>
        </w:rPr>
      </w:pPr>
      <w:r w:rsidRPr="004F029B">
        <w:rPr>
          <w:rFonts w:eastAsia="Times New Roman" w:cstheme="minorHAnsi"/>
        </w:rPr>
        <w:t xml:space="preserve">Watson-Thompson, J., Fawcett, S. B., &amp; Schultz, J. A. (2008). Differential effects of strategic planning on community change in two urban neighborhood coalitions. </w:t>
      </w:r>
      <w:r w:rsidRPr="00D05EC4">
        <w:rPr>
          <w:rFonts w:eastAsia="Times New Roman" w:cstheme="minorHAnsi"/>
        </w:rPr>
        <w:t>American Journal of community psychology</w:t>
      </w:r>
      <w:r w:rsidRPr="004F029B">
        <w:rPr>
          <w:rFonts w:eastAsia="Times New Roman" w:cstheme="minorHAnsi"/>
        </w:rPr>
        <w:t xml:space="preserve">, </w:t>
      </w:r>
      <w:r w:rsidRPr="00D05EC4">
        <w:rPr>
          <w:rFonts w:eastAsia="Times New Roman" w:cstheme="minorHAnsi"/>
        </w:rPr>
        <w:t>42</w:t>
      </w:r>
      <w:r w:rsidRPr="004F029B">
        <w:rPr>
          <w:rFonts w:eastAsia="Times New Roman" w:cstheme="minorHAnsi"/>
        </w:rPr>
        <w:t>(1-2), 25-38.</w:t>
      </w:r>
    </w:p>
    <w:p w:rsidR="00A5258F" w:rsidRPr="00D05EC4" w:rsidRDefault="00A5258F" w:rsidP="00D05EC4">
      <w:pPr>
        <w:spacing w:line="276" w:lineRule="auto"/>
        <w:ind w:left="720" w:hanging="720"/>
        <w:rPr>
          <w:rFonts w:eastAsia="Times New Roman" w:cstheme="minorHAnsi"/>
        </w:rPr>
      </w:pPr>
      <w:r w:rsidRPr="00D05EC4">
        <w:rPr>
          <w:rFonts w:eastAsia="Times New Roman" w:cstheme="minorHAnsi"/>
        </w:rPr>
        <w:t>White, G. W., Simpson, J.L., Gonda, C., Ravesloot, C. R., &amp; Coble, Z. (2010). From Independence to interdependence: A conceptual model for better understanding community participation of centers for independent living consumers.  Journal of Disability Policy Studies, 20(4), 233-240.</w:t>
      </w:r>
    </w:p>
    <w:p w:rsidR="00A5258F" w:rsidRDefault="00A5258F" w:rsidP="00D05EC4">
      <w:pPr>
        <w:spacing w:line="276" w:lineRule="auto"/>
        <w:ind w:left="720" w:hanging="720"/>
        <w:rPr>
          <w:rFonts w:eastAsia="Times New Roman" w:cstheme="minorHAnsi"/>
        </w:rPr>
      </w:pPr>
      <w:r w:rsidRPr="00CE5BFF">
        <w:rPr>
          <w:rFonts w:eastAsia="Times New Roman" w:cstheme="minorHAnsi"/>
        </w:rPr>
        <w:t xml:space="preserve">World Health Organization. (2011). </w:t>
      </w:r>
      <w:r w:rsidRPr="00D05EC4">
        <w:rPr>
          <w:rFonts w:eastAsia="Times New Roman" w:cstheme="minorHAnsi"/>
        </w:rPr>
        <w:t>World report on disability</w:t>
      </w:r>
      <w:r w:rsidRPr="00CE5BFF">
        <w:rPr>
          <w:rFonts w:eastAsia="Times New Roman" w:cstheme="minorHAnsi"/>
        </w:rPr>
        <w:t>. World Health Organization.</w:t>
      </w:r>
    </w:p>
    <w:p w:rsidR="00A5258F" w:rsidRPr="000137F5" w:rsidRDefault="00A5258F" w:rsidP="00D05EC4">
      <w:pPr>
        <w:spacing w:line="276" w:lineRule="auto"/>
        <w:ind w:left="720" w:hanging="720"/>
        <w:rPr>
          <w:rFonts w:eastAsia="Times New Roman" w:cstheme="minorHAnsi"/>
        </w:rPr>
      </w:pPr>
      <w:r w:rsidRPr="000137F5">
        <w:rPr>
          <w:rFonts w:eastAsia="Times New Roman" w:cstheme="minorHAnsi"/>
        </w:rPr>
        <w:t xml:space="preserve">Woods, N. K., Watson-Thompson, J., Schober, D. J., Markt, B., &amp; Fawcett, S. (2014). An Empirical Case Study of the Effects of Training and Technical Assistance on Community Coalition Functioning and Sustainability. </w:t>
      </w:r>
      <w:r w:rsidRPr="00D05EC4">
        <w:rPr>
          <w:rFonts w:eastAsia="Times New Roman" w:cstheme="minorHAnsi"/>
        </w:rPr>
        <w:t>Health promotion practice</w:t>
      </w:r>
      <w:r w:rsidRPr="000137F5">
        <w:rPr>
          <w:rFonts w:eastAsia="Times New Roman" w:cstheme="minorHAnsi"/>
        </w:rPr>
        <w:t xml:space="preserve">, </w:t>
      </w:r>
      <w:r w:rsidRPr="00D05EC4">
        <w:rPr>
          <w:rFonts w:eastAsia="Times New Roman" w:cstheme="minorHAnsi"/>
        </w:rPr>
        <w:t>15</w:t>
      </w:r>
      <w:r w:rsidRPr="000137F5">
        <w:rPr>
          <w:rFonts w:eastAsia="Times New Roman" w:cstheme="minorHAnsi"/>
        </w:rPr>
        <w:t>(5), 739-749.</w:t>
      </w:r>
    </w:p>
    <w:p w:rsidR="00A5258F" w:rsidRPr="000B2CC2" w:rsidRDefault="00A5258F" w:rsidP="00D05EC4">
      <w:pPr>
        <w:spacing w:line="276" w:lineRule="auto"/>
        <w:ind w:left="720" w:hanging="720"/>
        <w:rPr>
          <w:rFonts w:eastAsia="Times New Roman" w:cstheme="minorHAnsi"/>
        </w:rPr>
      </w:pPr>
      <w:r w:rsidRPr="000B2CC2">
        <w:rPr>
          <w:rFonts w:eastAsia="Times New Roman" w:cstheme="minorHAnsi"/>
        </w:rPr>
        <w:t xml:space="preserve">Vornholt, K., Uitdewilligen, S., &amp; Nijhuis, F. J. (2013). Factors affecting the acceptance of people with disabilities at work: a literature review. </w:t>
      </w:r>
      <w:r w:rsidRPr="00D05EC4">
        <w:rPr>
          <w:rFonts w:eastAsia="Times New Roman" w:cstheme="minorHAnsi"/>
        </w:rPr>
        <w:t>Journal of occupational rehabilitation</w:t>
      </w:r>
      <w:r w:rsidRPr="000B2CC2">
        <w:rPr>
          <w:rFonts w:eastAsia="Times New Roman" w:cstheme="minorHAnsi"/>
        </w:rPr>
        <w:t xml:space="preserve">, </w:t>
      </w:r>
      <w:r w:rsidRPr="00D05EC4">
        <w:rPr>
          <w:rFonts w:eastAsia="Times New Roman" w:cstheme="minorHAnsi"/>
        </w:rPr>
        <w:t>23</w:t>
      </w:r>
      <w:r w:rsidRPr="000B2CC2">
        <w:rPr>
          <w:rFonts w:eastAsia="Times New Roman" w:cstheme="minorHAnsi"/>
        </w:rPr>
        <w:t>(4), 463-475.</w:t>
      </w:r>
    </w:p>
    <w:p w:rsidR="00A5258F" w:rsidRPr="00CE5BFF" w:rsidRDefault="00A5258F" w:rsidP="00D05EC4">
      <w:pPr>
        <w:spacing w:line="276" w:lineRule="auto"/>
        <w:ind w:left="720" w:hanging="720"/>
        <w:rPr>
          <w:rFonts w:eastAsia="Times New Roman" w:cstheme="minorHAnsi"/>
        </w:rPr>
      </w:pPr>
    </w:p>
    <w:p w:rsidR="002D54D6" w:rsidRPr="00D05EC4" w:rsidRDefault="002D54D6" w:rsidP="00D05EC4">
      <w:pPr>
        <w:spacing w:line="276" w:lineRule="auto"/>
        <w:ind w:left="720" w:hanging="720"/>
        <w:rPr>
          <w:rFonts w:eastAsia="Times New Roman" w:cstheme="minorHAnsi"/>
        </w:rPr>
      </w:pPr>
    </w:p>
    <w:sectPr w:rsidR="002D54D6" w:rsidRPr="00D05EC4" w:rsidSect="00B81C51">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B64" w:rsidRDefault="003D6B64" w:rsidP="00F0273D">
      <w:pPr>
        <w:spacing w:after="0" w:line="240" w:lineRule="auto"/>
      </w:pPr>
      <w:r>
        <w:separator/>
      </w:r>
    </w:p>
  </w:endnote>
  <w:endnote w:type="continuationSeparator" w:id="0">
    <w:p w:rsidR="003D6B64" w:rsidRDefault="003D6B64" w:rsidP="00F0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122023"/>
      <w:docPartObj>
        <w:docPartGallery w:val="Page Numbers (Bottom of Page)"/>
        <w:docPartUnique/>
      </w:docPartObj>
    </w:sdtPr>
    <w:sdtEndPr>
      <w:rPr>
        <w:color w:val="7F7F7F" w:themeColor="background1" w:themeShade="7F"/>
        <w:spacing w:val="60"/>
      </w:rPr>
    </w:sdtEndPr>
    <w:sdtContent>
      <w:p w:rsidR="00613120" w:rsidRDefault="0061312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81C51" w:rsidRPr="00B81C51">
          <w:rPr>
            <w:b/>
            <w:bCs/>
            <w:noProof/>
          </w:rPr>
          <w:t>1</w:t>
        </w:r>
        <w:r>
          <w:rPr>
            <w:b/>
            <w:bCs/>
            <w:noProof/>
          </w:rPr>
          <w:fldChar w:fldCharType="end"/>
        </w:r>
        <w:r>
          <w:rPr>
            <w:b/>
            <w:bCs/>
          </w:rPr>
          <w:t xml:space="preserve"> |</w:t>
        </w:r>
        <w:r w:rsidRPr="00613120">
          <w:rPr>
            <w:rFonts w:cs="Times New Roman"/>
            <w:b/>
            <w:bCs/>
            <w:sz w:val="24"/>
            <w:szCs w:val="24"/>
          </w:rPr>
          <w:t xml:space="preserve"> </w:t>
        </w:r>
        <w:r>
          <w:rPr>
            <w:rFonts w:cs="Times New Roman"/>
            <w:b/>
            <w:bCs/>
            <w:sz w:val="24"/>
            <w:szCs w:val="24"/>
          </w:rPr>
          <w:t>White Paper on Building Capacity for Full Community Participation</w:t>
        </w:r>
      </w:p>
    </w:sdtContent>
  </w:sdt>
  <w:p w:rsidR="007C17D2" w:rsidRDefault="007C1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B64" w:rsidRDefault="003D6B64" w:rsidP="00F0273D">
      <w:pPr>
        <w:spacing w:after="0" w:line="240" w:lineRule="auto"/>
      </w:pPr>
      <w:r>
        <w:separator/>
      </w:r>
    </w:p>
  </w:footnote>
  <w:footnote w:type="continuationSeparator" w:id="0">
    <w:p w:rsidR="003D6B64" w:rsidRDefault="003D6B64" w:rsidP="00F02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2203"/>
    <w:multiLevelType w:val="hybridMultilevel"/>
    <w:tmpl w:val="2A6E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F0DE2"/>
    <w:multiLevelType w:val="multilevel"/>
    <w:tmpl w:val="ADB0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33F4E"/>
    <w:multiLevelType w:val="hybridMultilevel"/>
    <w:tmpl w:val="B6EAB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76E98"/>
    <w:multiLevelType w:val="hybridMultilevel"/>
    <w:tmpl w:val="FEBA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F5F18"/>
    <w:multiLevelType w:val="multilevel"/>
    <w:tmpl w:val="CDBE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D706E"/>
    <w:multiLevelType w:val="multilevel"/>
    <w:tmpl w:val="E75A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46927"/>
    <w:multiLevelType w:val="multilevel"/>
    <w:tmpl w:val="7EA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4B1EE7"/>
    <w:multiLevelType w:val="multilevel"/>
    <w:tmpl w:val="01985E52"/>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E174EC"/>
    <w:multiLevelType w:val="hybridMultilevel"/>
    <w:tmpl w:val="5746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11725"/>
    <w:multiLevelType w:val="multilevel"/>
    <w:tmpl w:val="8056E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C5106"/>
    <w:multiLevelType w:val="hybridMultilevel"/>
    <w:tmpl w:val="D80A8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B3AB6"/>
    <w:multiLevelType w:val="hybridMultilevel"/>
    <w:tmpl w:val="3E606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6032A"/>
    <w:multiLevelType w:val="multilevel"/>
    <w:tmpl w:val="DE5C11A6"/>
    <w:lvl w:ilvl="0">
      <w:start w:val="1"/>
      <w:numFmt w:val="decimal"/>
      <w:lvlText w:val="%1."/>
      <w:lvlJc w:val="left"/>
      <w:pPr>
        <w:ind w:left="720" w:hanging="360"/>
      </w:pPr>
      <w:rPr>
        <w:rFonts w:ascii="Times New Roman" w:eastAsiaTheme="minorHAnsi" w:hAnsi="Times New Roman" w:cs="Times New Roman"/>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636DFA"/>
    <w:multiLevelType w:val="hybridMultilevel"/>
    <w:tmpl w:val="B2E6A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E02BB0"/>
    <w:multiLevelType w:val="hybridMultilevel"/>
    <w:tmpl w:val="61D82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8574B"/>
    <w:multiLevelType w:val="hybridMultilevel"/>
    <w:tmpl w:val="9C922686"/>
    <w:lvl w:ilvl="0" w:tplc="0409000F">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50C7A"/>
    <w:multiLevelType w:val="hybridMultilevel"/>
    <w:tmpl w:val="C308A170"/>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0967D48"/>
    <w:multiLevelType w:val="hybridMultilevel"/>
    <w:tmpl w:val="6FACAEB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973E5"/>
    <w:multiLevelType w:val="hybridMultilevel"/>
    <w:tmpl w:val="E7CAB8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4FC3C97"/>
    <w:multiLevelType w:val="multilevel"/>
    <w:tmpl w:val="4DBE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D1484"/>
    <w:multiLevelType w:val="hybridMultilevel"/>
    <w:tmpl w:val="6B02C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8"/>
  </w:num>
  <w:num w:numId="4">
    <w:abstractNumId w:val="9"/>
  </w:num>
  <w:num w:numId="5">
    <w:abstractNumId w:val="2"/>
  </w:num>
  <w:num w:numId="6">
    <w:abstractNumId w:val="11"/>
  </w:num>
  <w:num w:numId="7">
    <w:abstractNumId w:val="3"/>
  </w:num>
  <w:num w:numId="8">
    <w:abstractNumId w:val="8"/>
  </w:num>
  <w:num w:numId="9">
    <w:abstractNumId w:val="15"/>
  </w:num>
  <w:num w:numId="10">
    <w:abstractNumId w:val="12"/>
  </w:num>
  <w:num w:numId="11">
    <w:abstractNumId w:val="7"/>
  </w:num>
  <w:num w:numId="12">
    <w:abstractNumId w:val="14"/>
  </w:num>
  <w:num w:numId="13">
    <w:abstractNumId w:val="10"/>
  </w:num>
  <w:num w:numId="14">
    <w:abstractNumId w:val="0"/>
  </w:num>
  <w:num w:numId="15">
    <w:abstractNumId w:val="4"/>
  </w:num>
  <w:num w:numId="16">
    <w:abstractNumId w:val="1"/>
  </w:num>
  <w:num w:numId="17">
    <w:abstractNumId w:val="19"/>
  </w:num>
  <w:num w:numId="18">
    <w:abstractNumId w:val="5"/>
  </w:num>
  <w:num w:numId="19">
    <w:abstractNumId w:val="6"/>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A3"/>
    <w:rsid w:val="00003C93"/>
    <w:rsid w:val="00017346"/>
    <w:rsid w:val="0002401A"/>
    <w:rsid w:val="000324B4"/>
    <w:rsid w:val="00062C8E"/>
    <w:rsid w:val="0007209C"/>
    <w:rsid w:val="00087AB1"/>
    <w:rsid w:val="00087F51"/>
    <w:rsid w:val="00094141"/>
    <w:rsid w:val="000A3F6B"/>
    <w:rsid w:val="000A6595"/>
    <w:rsid w:val="000B1046"/>
    <w:rsid w:val="000C13EA"/>
    <w:rsid w:val="000C4508"/>
    <w:rsid w:val="000D3C6A"/>
    <w:rsid w:val="000E1BFA"/>
    <w:rsid w:val="000E3A59"/>
    <w:rsid w:val="000E4470"/>
    <w:rsid w:val="00100E9E"/>
    <w:rsid w:val="001039AB"/>
    <w:rsid w:val="0011224C"/>
    <w:rsid w:val="0011457E"/>
    <w:rsid w:val="00127DD0"/>
    <w:rsid w:val="00137718"/>
    <w:rsid w:val="001428DC"/>
    <w:rsid w:val="0015060E"/>
    <w:rsid w:val="00152A2E"/>
    <w:rsid w:val="00157147"/>
    <w:rsid w:val="00181B6A"/>
    <w:rsid w:val="00191EF5"/>
    <w:rsid w:val="00194773"/>
    <w:rsid w:val="00195B2A"/>
    <w:rsid w:val="001A2408"/>
    <w:rsid w:val="001A438A"/>
    <w:rsid w:val="001B2CFA"/>
    <w:rsid w:val="001B517C"/>
    <w:rsid w:val="001B51E9"/>
    <w:rsid w:val="001C4BBA"/>
    <w:rsid w:val="001C6DDA"/>
    <w:rsid w:val="001E1BA3"/>
    <w:rsid w:val="0020001E"/>
    <w:rsid w:val="002116EE"/>
    <w:rsid w:val="002204EA"/>
    <w:rsid w:val="0022052B"/>
    <w:rsid w:val="00240FC8"/>
    <w:rsid w:val="0024233C"/>
    <w:rsid w:val="00250E08"/>
    <w:rsid w:val="002644A9"/>
    <w:rsid w:val="002652CF"/>
    <w:rsid w:val="00267299"/>
    <w:rsid w:val="00276110"/>
    <w:rsid w:val="0028675C"/>
    <w:rsid w:val="00290FF3"/>
    <w:rsid w:val="002B3146"/>
    <w:rsid w:val="002B5560"/>
    <w:rsid w:val="002C1319"/>
    <w:rsid w:val="002C2C37"/>
    <w:rsid w:val="002C58F4"/>
    <w:rsid w:val="002D44FA"/>
    <w:rsid w:val="002D54D6"/>
    <w:rsid w:val="002D7986"/>
    <w:rsid w:val="002E0EC3"/>
    <w:rsid w:val="00300E45"/>
    <w:rsid w:val="0033220B"/>
    <w:rsid w:val="0033775B"/>
    <w:rsid w:val="0034683D"/>
    <w:rsid w:val="00356B6C"/>
    <w:rsid w:val="003832E4"/>
    <w:rsid w:val="003D4DFF"/>
    <w:rsid w:val="003D4F1C"/>
    <w:rsid w:val="003D6B64"/>
    <w:rsid w:val="003E0146"/>
    <w:rsid w:val="003E0D6C"/>
    <w:rsid w:val="003E3527"/>
    <w:rsid w:val="003F2135"/>
    <w:rsid w:val="00403607"/>
    <w:rsid w:val="00403BD9"/>
    <w:rsid w:val="004056DC"/>
    <w:rsid w:val="00415E07"/>
    <w:rsid w:val="00425D50"/>
    <w:rsid w:val="0043591B"/>
    <w:rsid w:val="004516F9"/>
    <w:rsid w:val="00454D96"/>
    <w:rsid w:val="004600D0"/>
    <w:rsid w:val="00482C9B"/>
    <w:rsid w:val="004842B4"/>
    <w:rsid w:val="004A2FC7"/>
    <w:rsid w:val="004B2363"/>
    <w:rsid w:val="004B55CE"/>
    <w:rsid w:val="004B7A4E"/>
    <w:rsid w:val="004C57DD"/>
    <w:rsid w:val="004C61AB"/>
    <w:rsid w:val="004E3D00"/>
    <w:rsid w:val="004E761A"/>
    <w:rsid w:val="004F4E03"/>
    <w:rsid w:val="00510DE7"/>
    <w:rsid w:val="00512E46"/>
    <w:rsid w:val="00515ADB"/>
    <w:rsid w:val="00525279"/>
    <w:rsid w:val="00532B29"/>
    <w:rsid w:val="005339B6"/>
    <w:rsid w:val="00534D2E"/>
    <w:rsid w:val="005354B5"/>
    <w:rsid w:val="0054607D"/>
    <w:rsid w:val="00547E97"/>
    <w:rsid w:val="00567918"/>
    <w:rsid w:val="00582903"/>
    <w:rsid w:val="00597881"/>
    <w:rsid w:val="005C26D6"/>
    <w:rsid w:val="005C5777"/>
    <w:rsid w:val="005D300B"/>
    <w:rsid w:val="005D537C"/>
    <w:rsid w:val="005E108C"/>
    <w:rsid w:val="005E2A2B"/>
    <w:rsid w:val="005E389D"/>
    <w:rsid w:val="005F257B"/>
    <w:rsid w:val="005F6B33"/>
    <w:rsid w:val="00613120"/>
    <w:rsid w:val="00625DF8"/>
    <w:rsid w:val="00652BB5"/>
    <w:rsid w:val="0065328C"/>
    <w:rsid w:val="00654487"/>
    <w:rsid w:val="0065453A"/>
    <w:rsid w:val="00660EDC"/>
    <w:rsid w:val="0066231C"/>
    <w:rsid w:val="00673281"/>
    <w:rsid w:val="00681B1C"/>
    <w:rsid w:val="00696FDE"/>
    <w:rsid w:val="006A26E0"/>
    <w:rsid w:val="006A7849"/>
    <w:rsid w:val="006B113C"/>
    <w:rsid w:val="006B7FFC"/>
    <w:rsid w:val="006D0EE8"/>
    <w:rsid w:val="006F4ED1"/>
    <w:rsid w:val="00723619"/>
    <w:rsid w:val="00727EB7"/>
    <w:rsid w:val="00731A1D"/>
    <w:rsid w:val="00733FC4"/>
    <w:rsid w:val="00735599"/>
    <w:rsid w:val="00757EF2"/>
    <w:rsid w:val="007622D9"/>
    <w:rsid w:val="0077396A"/>
    <w:rsid w:val="007850CE"/>
    <w:rsid w:val="007857D2"/>
    <w:rsid w:val="007868B3"/>
    <w:rsid w:val="0078764B"/>
    <w:rsid w:val="007A721E"/>
    <w:rsid w:val="007C17D2"/>
    <w:rsid w:val="007C18F2"/>
    <w:rsid w:val="007D1115"/>
    <w:rsid w:val="007F12E7"/>
    <w:rsid w:val="007F1A33"/>
    <w:rsid w:val="0080202D"/>
    <w:rsid w:val="00802D3C"/>
    <w:rsid w:val="0080662D"/>
    <w:rsid w:val="00814DDF"/>
    <w:rsid w:val="00830051"/>
    <w:rsid w:val="00831B0E"/>
    <w:rsid w:val="008428CB"/>
    <w:rsid w:val="008476A9"/>
    <w:rsid w:val="00855DC6"/>
    <w:rsid w:val="00861173"/>
    <w:rsid w:val="00874998"/>
    <w:rsid w:val="00875492"/>
    <w:rsid w:val="00883439"/>
    <w:rsid w:val="00891DD3"/>
    <w:rsid w:val="008C634E"/>
    <w:rsid w:val="008C73B3"/>
    <w:rsid w:val="008D64D2"/>
    <w:rsid w:val="008E28FC"/>
    <w:rsid w:val="008E4674"/>
    <w:rsid w:val="008F3875"/>
    <w:rsid w:val="008F6AFB"/>
    <w:rsid w:val="00911866"/>
    <w:rsid w:val="00914291"/>
    <w:rsid w:val="00916AAB"/>
    <w:rsid w:val="0096023D"/>
    <w:rsid w:val="00964F60"/>
    <w:rsid w:val="009710C5"/>
    <w:rsid w:val="009B5822"/>
    <w:rsid w:val="009F1CE1"/>
    <w:rsid w:val="009F1DD9"/>
    <w:rsid w:val="009F5029"/>
    <w:rsid w:val="00A10729"/>
    <w:rsid w:val="00A11B23"/>
    <w:rsid w:val="00A15EF5"/>
    <w:rsid w:val="00A34E3E"/>
    <w:rsid w:val="00A372C6"/>
    <w:rsid w:val="00A4122D"/>
    <w:rsid w:val="00A5258F"/>
    <w:rsid w:val="00A71586"/>
    <w:rsid w:val="00A843A2"/>
    <w:rsid w:val="00A933E1"/>
    <w:rsid w:val="00AB1FAB"/>
    <w:rsid w:val="00AB212A"/>
    <w:rsid w:val="00AB2E9E"/>
    <w:rsid w:val="00AB5F02"/>
    <w:rsid w:val="00AB6959"/>
    <w:rsid w:val="00AB783F"/>
    <w:rsid w:val="00AC0058"/>
    <w:rsid w:val="00AC336C"/>
    <w:rsid w:val="00AD3CB2"/>
    <w:rsid w:val="00AE20C5"/>
    <w:rsid w:val="00AE50F9"/>
    <w:rsid w:val="00AE5F79"/>
    <w:rsid w:val="00B03621"/>
    <w:rsid w:val="00B05736"/>
    <w:rsid w:val="00B07680"/>
    <w:rsid w:val="00B12A2E"/>
    <w:rsid w:val="00B20B82"/>
    <w:rsid w:val="00B22EF8"/>
    <w:rsid w:val="00B276BF"/>
    <w:rsid w:val="00B2791B"/>
    <w:rsid w:val="00B33D1C"/>
    <w:rsid w:val="00B35754"/>
    <w:rsid w:val="00B40D80"/>
    <w:rsid w:val="00B43026"/>
    <w:rsid w:val="00B50D02"/>
    <w:rsid w:val="00B636C6"/>
    <w:rsid w:val="00B639EB"/>
    <w:rsid w:val="00B65208"/>
    <w:rsid w:val="00B70B21"/>
    <w:rsid w:val="00B802AD"/>
    <w:rsid w:val="00B81C51"/>
    <w:rsid w:val="00B8237A"/>
    <w:rsid w:val="00B85339"/>
    <w:rsid w:val="00B9032A"/>
    <w:rsid w:val="00B933B6"/>
    <w:rsid w:val="00BA4A92"/>
    <w:rsid w:val="00BA6B7A"/>
    <w:rsid w:val="00BB7EF7"/>
    <w:rsid w:val="00BC50D3"/>
    <w:rsid w:val="00BC5572"/>
    <w:rsid w:val="00BC77D2"/>
    <w:rsid w:val="00BD1817"/>
    <w:rsid w:val="00BD2770"/>
    <w:rsid w:val="00BD4FF3"/>
    <w:rsid w:val="00BD668B"/>
    <w:rsid w:val="00BE2845"/>
    <w:rsid w:val="00BF302E"/>
    <w:rsid w:val="00C0493B"/>
    <w:rsid w:val="00C06C51"/>
    <w:rsid w:val="00C12249"/>
    <w:rsid w:val="00C1255C"/>
    <w:rsid w:val="00C146D3"/>
    <w:rsid w:val="00C374EF"/>
    <w:rsid w:val="00C432EF"/>
    <w:rsid w:val="00C43395"/>
    <w:rsid w:val="00C64E2C"/>
    <w:rsid w:val="00C72FBB"/>
    <w:rsid w:val="00C82D4A"/>
    <w:rsid w:val="00C94494"/>
    <w:rsid w:val="00CA03DA"/>
    <w:rsid w:val="00CA2275"/>
    <w:rsid w:val="00CA509A"/>
    <w:rsid w:val="00CC3E5E"/>
    <w:rsid w:val="00CC57CC"/>
    <w:rsid w:val="00CD21DF"/>
    <w:rsid w:val="00CD5E26"/>
    <w:rsid w:val="00D05EC4"/>
    <w:rsid w:val="00D21FB9"/>
    <w:rsid w:val="00D34602"/>
    <w:rsid w:val="00D42C9D"/>
    <w:rsid w:val="00D44DEC"/>
    <w:rsid w:val="00D54BF4"/>
    <w:rsid w:val="00D570AD"/>
    <w:rsid w:val="00D6203F"/>
    <w:rsid w:val="00D62487"/>
    <w:rsid w:val="00D64BAB"/>
    <w:rsid w:val="00D7160B"/>
    <w:rsid w:val="00D75187"/>
    <w:rsid w:val="00D863BE"/>
    <w:rsid w:val="00D9280E"/>
    <w:rsid w:val="00D93241"/>
    <w:rsid w:val="00DA1A6E"/>
    <w:rsid w:val="00DC4582"/>
    <w:rsid w:val="00DC4899"/>
    <w:rsid w:val="00DC6899"/>
    <w:rsid w:val="00DD1B63"/>
    <w:rsid w:val="00DD28C0"/>
    <w:rsid w:val="00DD2993"/>
    <w:rsid w:val="00DE13CE"/>
    <w:rsid w:val="00DE3452"/>
    <w:rsid w:val="00DE7E5C"/>
    <w:rsid w:val="00DF17D5"/>
    <w:rsid w:val="00E01017"/>
    <w:rsid w:val="00E02C6D"/>
    <w:rsid w:val="00E07726"/>
    <w:rsid w:val="00E2040C"/>
    <w:rsid w:val="00E470DC"/>
    <w:rsid w:val="00E74653"/>
    <w:rsid w:val="00E80CFD"/>
    <w:rsid w:val="00E8745F"/>
    <w:rsid w:val="00E87AE8"/>
    <w:rsid w:val="00E91A59"/>
    <w:rsid w:val="00E93F59"/>
    <w:rsid w:val="00EA19CC"/>
    <w:rsid w:val="00EA7050"/>
    <w:rsid w:val="00EB38A2"/>
    <w:rsid w:val="00EB5500"/>
    <w:rsid w:val="00EB6B9F"/>
    <w:rsid w:val="00EC3E5B"/>
    <w:rsid w:val="00ED18CA"/>
    <w:rsid w:val="00EF578D"/>
    <w:rsid w:val="00F01D6B"/>
    <w:rsid w:val="00F0273D"/>
    <w:rsid w:val="00F15977"/>
    <w:rsid w:val="00F27903"/>
    <w:rsid w:val="00F44184"/>
    <w:rsid w:val="00F506A5"/>
    <w:rsid w:val="00F570CE"/>
    <w:rsid w:val="00F63D94"/>
    <w:rsid w:val="00F8361D"/>
    <w:rsid w:val="00F908AA"/>
    <w:rsid w:val="00F93E2F"/>
    <w:rsid w:val="00FA1AE2"/>
    <w:rsid w:val="00FA2B33"/>
    <w:rsid w:val="00FB2E65"/>
    <w:rsid w:val="00FC5181"/>
    <w:rsid w:val="00FE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1C7428"/>
  <w15:chartTrackingRefBased/>
  <w15:docId w15:val="{E2E1DA00-170D-400A-9752-842A56B1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866"/>
    <w:pPr>
      <w:ind w:left="720"/>
      <w:contextualSpacing/>
    </w:pPr>
  </w:style>
  <w:style w:type="character" w:styleId="CommentReference">
    <w:name w:val="annotation reference"/>
    <w:basedOn w:val="DefaultParagraphFont"/>
    <w:uiPriority w:val="99"/>
    <w:semiHidden/>
    <w:unhideWhenUsed/>
    <w:rsid w:val="00BC77D2"/>
    <w:rPr>
      <w:sz w:val="16"/>
      <w:szCs w:val="16"/>
    </w:rPr>
  </w:style>
  <w:style w:type="paragraph" w:styleId="CommentText">
    <w:name w:val="annotation text"/>
    <w:basedOn w:val="Normal"/>
    <w:link w:val="CommentTextChar"/>
    <w:uiPriority w:val="99"/>
    <w:unhideWhenUsed/>
    <w:rsid w:val="00BC77D2"/>
    <w:pPr>
      <w:spacing w:line="240" w:lineRule="auto"/>
    </w:pPr>
    <w:rPr>
      <w:sz w:val="20"/>
      <w:szCs w:val="20"/>
    </w:rPr>
  </w:style>
  <w:style w:type="character" w:customStyle="1" w:styleId="CommentTextChar">
    <w:name w:val="Comment Text Char"/>
    <w:basedOn w:val="DefaultParagraphFont"/>
    <w:link w:val="CommentText"/>
    <w:uiPriority w:val="99"/>
    <w:rsid w:val="00BC77D2"/>
    <w:rPr>
      <w:sz w:val="20"/>
      <w:szCs w:val="20"/>
    </w:rPr>
  </w:style>
  <w:style w:type="paragraph" w:styleId="CommentSubject">
    <w:name w:val="annotation subject"/>
    <w:basedOn w:val="CommentText"/>
    <w:next w:val="CommentText"/>
    <w:link w:val="CommentSubjectChar"/>
    <w:uiPriority w:val="99"/>
    <w:semiHidden/>
    <w:unhideWhenUsed/>
    <w:rsid w:val="00BC77D2"/>
    <w:rPr>
      <w:b/>
      <w:bCs/>
    </w:rPr>
  </w:style>
  <w:style w:type="character" w:customStyle="1" w:styleId="CommentSubjectChar">
    <w:name w:val="Comment Subject Char"/>
    <w:basedOn w:val="CommentTextChar"/>
    <w:link w:val="CommentSubject"/>
    <w:uiPriority w:val="99"/>
    <w:semiHidden/>
    <w:rsid w:val="00BC77D2"/>
    <w:rPr>
      <w:b/>
      <w:bCs/>
      <w:sz w:val="20"/>
      <w:szCs w:val="20"/>
    </w:rPr>
  </w:style>
  <w:style w:type="paragraph" w:styleId="Revision">
    <w:name w:val="Revision"/>
    <w:hidden/>
    <w:uiPriority w:val="99"/>
    <w:semiHidden/>
    <w:rsid w:val="00BC77D2"/>
    <w:pPr>
      <w:spacing w:after="0" w:line="240" w:lineRule="auto"/>
    </w:pPr>
  </w:style>
  <w:style w:type="paragraph" w:styleId="BalloonText">
    <w:name w:val="Balloon Text"/>
    <w:basedOn w:val="Normal"/>
    <w:link w:val="BalloonTextChar"/>
    <w:uiPriority w:val="99"/>
    <w:semiHidden/>
    <w:unhideWhenUsed/>
    <w:rsid w:val="00BC7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D2"/>
    <w:rPr>
      <w:rFonts w:ascii="Segoe UI" w:hAnsi="Segoe UI" w:cs="Segoe UI"/>
      <w:sz w:val="18"/>
      <w:szCs w:val="18"/>
    </w:rPr>
  </w:style>
  <w:style w:type="table" w:styleId="TableGrid">
    <w:name w:val="Table Grid"/>
    <w:basedOn w:val="TableNormal"/>
    <w:uiPriority w:val="39"/>
    <w:rsid w:val="00AE2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73D"/>
  </w:style>
  <w:style w:type="paragraph" w:styleId="Footer">
    <w:name w:val="footer"/>
    <w:basedOn w:val="Normal"/>
    <w:link w:val="FooterChar"/>
    <w:uiPriority w:val="99"/>
    <w:unhideWhenUsed/>
    <w:rsid w:val="00F02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73D"/>
  </w:style>
  <w:style w:type="character" w:styleId="Hyperlink">
    <w:name w:val="Hyperlink"/>
    <w:basedOn w:val="DefaultParagraphFont"/>
    <w:uiPriority w:val="99"/>
    <w:unhideWhenUsed/>
    <w:rsid w:val="00831B0E"/>
    <w:rPr>
      <w:color w:val="1F70AE"/>
      <w:u w:val="single"/>
    </w:rPr>
  </w:style>
  <w:style w:type="paragraph" w:customStyle="1" w:styleId="BasicParagraph">
    <w:name w:val="[Basic Paragraph]"/>
    <w:basedOn w:val="Normal"/>
    <w:uiPriority w:val="99"/>
    <w:rsid w:val="002116EE"/>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1251">
      <w:bodyDiv w:val="1"/>
      <w:marLeft w:val="0"/>
      <w:marRight w:val="0"/>
      <w:marTop w:val="0"/>
      <w:marBottom w:val="0"/>
      <w:divBdr>
        <w:top w:val="none" w:sz="0" w:space="0" w:color="auto"/>
        <w:left w:val="none" w:sz="0" w:space="0" w:color="auto"/>
        <w:bottom w:val="none" w:sz="0" w:space="0" w:color="auto"/>
        <w:right w:val="none" w:sz="0" w:space="0" w:color="auto"/>
      </w:divBdr>
    </w:div>
    <w:div w:id="399639184">
      <w:bodyDiv w:val="1"/>
      <w:marLeft w:val="0"/>
      <w:marRight w:val="0"/>
      <w:marTop w:val="0"/>
      <w:marBottom w:val="0"/>
      <w:divBdr>
        <w:top w:val="none" w:sz="0" w:space="0" w:color="auto"/>
        <w:left w:val="none" w:sz="0" w:space="0" w:color="auto"/>
        <w:bottom w:val="none" w:sz="0" w:space="0" w:color="auto"/>
        <w:right w:val="none" w:sz="0" w:space="0" w:color="auto"/>
      </w:divBdr>
    </w:div>
    <w:div w:id="476143699">
      <w:bodyDiv w:val="1"/>
      <w:marLeft w:val="0"/>
      <w:marRight w:val="0"/>
      <w:marTop w:val="0"/>
      <w:marBottom w:val="0"/>
      <w:divBdr>
        <w:top w:val="none" w:sz="0" w:space="0" w:color="auto"/>
        <w:left w:val="none" w:sz="0" w:space="0" w:color="auto"/>
        <w:bottom w:val="none" w:sz="0" w:space="0" w:color="auto"/>
        <w:right w:val="none" w:sz="0" w:space="0" w:color="auto"/>
      </w:divBdr>
    </w:div>
    <w:div w:id="1056316129">
      <w:bodyDiv w:val="1"/>
      <w:marLeft w:val="0"/>
      <w:marRight w:val="0"/>
      <w:marTop w:val="0"/>
      <w:marBottom w:val="0"/>
      <w:divBdr>
        <w:top w:val="none" w:sz="0" w:space="0" w:color="auto"/>
        <w:left w:val="none" w:sz="0" w:space="0" w:color="auto"/>
        <w:bottom w:val="none" w:sz="0" w:space="0" w:color="auto"/>
        <w:right w:val="none" w:sz="0" w:space="0" w:color="auto"/>
      </w:divBdr>
    </w:div>
    <w:div w:id="1573002499">
      <w:bodyDiv w:val="1"/>
      <w:marLeft w:val="0"/>
      <w:marRight w:val="0"/>
      <w:marTop w:val="0"/>
      <w:marBottom w:val="0"/>
      <w:divBdr>
        <w:top w:val="none" w:sz="0" w:space="0" w:color="auto"/>
        <w:left w:val="none" w:sz="0" w:space="0" w:color="auto"/>
        <w:bottom w:val="none" w:sz="0" w:space="0" w:color="auto"/>
        <w:right w:val="none" w:sz="0" w:space="0" w:color="auto"/>
      </w:divBdr>
    </w:div>
    <w:div w:id="1647196223">
      <w:bodyDiv w:val="1"/>
      <w:marLeft w:val="0"/>
      <w:marRight w:val="0"/>
      <w:marTop w:val="0"/>
      <w:marBottom w:val="0"/>
      <w:divBdr>
        <w:top w:val="none" w:sz="0" w:space="0" w:color="auto"/>
        <w:left w:val="none" w:sz="0" w:space="0" w:color="auto"/>
        <w:bottom w:val="none" w:sz="0" w:space="0" w:color="auto"/>
        <w:right w:val="none" w:sz="0" w:space="0" w:color="auto"/>
      </w:divBdr>
    </w:div>
    <w:div w:id="1656837228">
      <w:bodyDiv w:val="1"/>
      <w:marLeft w:val="0"/>
      <w:marRight w:val="0"/>
      <w:marTop w:val="0"/>
      <w:marBottom w:val="0"/>
      <w:divBdr>
        <w:top w:val="none" w:sz="0" w:space="0" w:color="auto"/>
        <w:left w:val="none" w:sz="0" w:space="0" w:color="auto"/>
        <w:bottom w:val="none" w:sz="0" w:space="0" w:color="auto"/>
        <w:right w:val="none" w:sz="0" w:space="0" w:color="auto"/>
      </w:divBdr>
      <w:divsChild>
        <w:div w:id="175702035">
          <w:marLeft w:val="0"/>
          <w:marRight w:val="0"/>
          <w:marTop w:val="0"/>
          <w:marBottom w:val="0"/>
          <w:divBdr>
            <w:top w:val="none" w:sz="0" w:space="0" w:color="auto"/>
            <w:left w:val="none" w:sz="0" w:space="0" w:color="auto"/>
            <w:bottom w:val="none" w:sz="0" w:space="0" w:color="auto"/>
            <w:right w:val="none" w:sz="0" w:space="0" w:color="auto"/>
          </w:divBdr>
          <w:divsChild>
            <w:div w:id="1043098578">
              <w:marLeft w:val="0"/>
              <w:marRight w:val="0"/>
              <w:marTop w:val="0"/>
              <w:marBottom w:val="0"/>
              <w:divBdr>
                <w:top w:val="none" w:sz="0" w:space="0" w:color="auto"/>
                <w:left w:val="none" w:sz="0" w:space="0" w:color="auto"/>
                <w:bottom w:val="none" w:sz="0" w:space="0" w:color="auto"/>
                <w:right w:val="none" w:sz="0" w:space="0" w:color="auto"/>
              </w:divBdr>
              <w:divsChild>
                <w:div w:id="690450151">
                  <w:marLeft w:val="0"/>
                  <w:marRight w:val="0"/>
                  <w:marTop w:val="0"/>
                  <w:marBottom w:val="0"/>
                  <w:divBdr>
                    <w:top w:val="none" w:sz="0" w:space="0" w:color="auto"/>
                    <w:left w:val="none" w:sz="0" w:space="0" w:color="auto"/>
                    <w:bottom w:val="none" w:sz="0" w:space="0" w:color="auto"/>
                    <w:right w:val="none" w:sz="0" w:space="0" w:color="auto"/>
                  </w:divBdr>
                  <w:divsChild>
                    <w:div w:id="1833795424">
                      <w:marLeft w:val="0"/>
                      <w:marRight w:val="0"/>
                      <w:marTop w:val="0"/>
                      <w:marBottom w:val="0"/>
                      <w:divBdr>
                        <w:top w:val="none" w:sz="0" w:space="0" w:color="auto"/>
                        <w:left w:val="none" w:sz="0" w:space="0" w:color="auto"/>
                        <w:bottom w:val="none" w:sz="0" w:space="0" w:color="auto"/>
                        <w:right w:val="none" w:sz="0" w:space="0" w:color="auto"/>
                      </w:divBdr>
                      <w:divsChild>
                        <w:div w:id="1754231539">
                          <w:marLeft w:val="0"/>
                          <w:marRight w:val="0"/>
                          <w:marTop w:val="0"/>
                          <w:marBottom w:val="0"/>
                          <w:divBdr>
                            <w:top w:val="none" w:sz="0" w:space="0" w:color="auto"/>
                            <w:left w:val="none" w:sz="0" w:space="0" w:color="auto"/>
                            <w:bottom w:val="none" w:sz="0" w:space="0" w:color="auto"/>
                            <w:right w:val="none" w:sz="0" w:space="0" w:color="auto"/>
                          </w:divBdr>
                          <w:divsChild>
                            <w:div w:id="1911495991">
                              <w:marLeft w:val="0"/>
                              <w:marRight w:val="0"/>
                              <w:marTop w:val="0"/>
                              <w:marBottom w:val="0"/>
                              <w:divBdr>
                                <w:top w:val="none" w:sz="0" w:space="0" w:color="auto"/>
                                <w:left w:val="none" w:sz="0" w:space="0" w:color="auto"/>
                                <w:bottom w:val="none" w:sz="0" w:space="0" w:color="auto"/>
                                <w:right w:val="none" w:sz="0" w:space="0" w:color="auto"/>
                              </w:divBdr>
                              <w:divsChild>
                                <w:div w:id="836727302">
                                  <w:marLeft w:val="0"/>
                                  <w:marRight w:val="0"/>
                                  <w:marTop w:val="0"/>
                                  <w:marBottom w:val="0"/>
                                  <w:divBdr>
                                    <w:top w:val="none" w:sz="0" w:space="0" w:color="auto"/>
                                    <w:left w:val="none" w:sz="0" w:space="0" w:color="auto"/>
                                    <w:bottom w:val="none" w:sz="0" w:space="0" w:color="auto"/>
                                    <w:right w:val="none" w:sz="0" w:space="0" w:color="auto"/>
                                  </w:divBdr>
                                  <w:divsChild>
                                    <w:div w:id="16423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939423">
      <w:bodyDiv w:val="1"/>
      <w:marLeft w:val="0"/>
      <w:marRight w:val="0"/>
      <w:marTop w:val="0"/>
      <w:marBottom w:val="0"/>
      <w:divBdr>
        <w:top w:val="none" w:sz="0" w:space="0" w:color="auto"/>
        <w:left w:val="none" w:sz="0" w:space="0" w:color="auto"/>
        <w:bottom w:val="none" w:sz="0" w:space="0" w:color="auto"/>
        <w:right w:val="none" w:sz="0" w:space="0" w:color="auto"/>
      </w:divBdr>
    </w:div>
    <w:div w:id="20466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ctb.ku.edu/en/training-curriculu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en-US" sz="1200" cap="none" baseline="0"/>
              <a:t>Goal Areas of Community Changes for All Participating CILs</a:t>
            </a:r>
          </a:p>
          <a:p>
            <a:pPr>
              <a:defRPr sz="1200" b="1" i="0" u="none" strike="noStrike" kern="1200" cap="all" baseline="0">
                <a:solidFill>
                  <a:schemeClr val="tx1">
                    <a:lumMod val="65000"/>
                    <a:lumOff val="35000"/>
                  </a:schemeClr>
                </a:solidFill>
                <a:latin typeface="+mn-lt"/>
                <a:ea typeface="+mn-ea"/>
                <a:cs typeface="+mn-cs"/>
              </a:defRPr>
            </a:pPr>
            <a:r>
              <a:rPr lang="en-US" sz="1200"/>
              <a:t>N = 197</a:t>
            </a:r>
          </a:p>
        </c:rich>
      </c:tx>
      <c:layout/>
      <c:overlay val="0"/>
      <c:spPr>
        <a:noFill/>
        <a:ln>
          <a:noFill/>
        </a:ln>
        <a:effectLst/>
      </c:spPr>
    </c:title>
    <c:autoTitleDeleted val="0"/>
    <c:plotArea>
      <c:layout/>
      <c:pieChart>
        <c:varyColors val="1"/>
        <c:ser>
          <c:idx val="0"/>
          <c:order val="0"/>
          <c:tx>
            <c:strRef>
              <c:f>Sheet1!$B$1</c:f>
              <c:strCache>
                <c:ptCount val="1"/>
                <c:pt idx="0">
                  <c:v>Accomplishments of All Participating CILs by Goal Area</c:v>
                </c:pt>
              </c:strCache>
            </c:strRef>
          </c:tx>
          <c:spPr>
            <a:ln>
              <a:solidFill>
                <a:schemeClr val="bg1"/>
              </a:solidFill>
            </a:ln>
          </c:spPr>
          <c:dPt>
            <c:idx val="0"/>
            <c:bubble3D val="0"/>
            <c:spPr>
              <a:solidFill>
                <a:schemeClr val="accent1"/>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F0F-4A0E-B257-253CC6203D56}"/>
              </c:ext>
            </c:extLst>
          </c:dPt>
          <c:dPt>
            <c:idx val="1"/>
            <c:bubble3D val="0"/>
            <c:spPr>
              <a:solidFill>
                <a:schemeClr val="accent2"/>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F0F-4A0E-B257-253CC6203D56}"/>
              </c:ext>
            </c:extLst>
          </c:dPt>
          <c:dPt>
            <c:idx val="2"/>
            <c:bubble3D val="0"/>
            <c:spPr>
              <a:solidFill>
                <a:schemeClr val="accent3"/>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F0F-4A0E-B257-253CC6203D56}"/>
              </c:ext>
            </c:extLst>
          </c:dPt>
          <c:dPt>
            <c:idx val="3"/>
            <c:bubble3D val="0"/>
            <c:spPr>
              <a:solidFill>
                <a:schemeClr val="accent4"/>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F0F-4A0E-B257-253CC6203D56}"/>
              </c:ext>
            </c:extLst>
          </c:dPt>
          <c:dPt>
            <c:idx val="4"/>
            <c:bubble3D val="0"/>
            <c:spPr>
              <a:solidFill>
                <a:schemeClr val="accent5"/>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FF0F-4A0E-B257-253CC6203D56}"/>
              </c:ext>
            </c:extLst>
          </c:dPt>
          <c:dPt>
            <c:idx val="5"/>
            <c:bubble3D val="0"/>
            <c:spPr>
              <a:solidFill>
                <a:schemeClr val="accent6"/>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FF0F-4A0E-B257-253CC6203D56}"/>
              </c:ext>
            </c:extLst>
          </c:dPt>
          <c:dPt>
            <c:idx val="6"/>
            <c:bubble3D val="0"/>
            <c:spPr>
              <a:solidFill>
                <a:schemeClr val="accent1">
                  <a:lumMod val="6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FF0F-4A0E-B257-253CC6203D56}"/>
              </c:ext>
            </c:extLst>
          </c:dPt>
          <c:dPt>
            <c:idx val="7"/>
            <c:bubble3D val="0"/>
            <c:spPr>
              <a:solidFill>
                <a:schemeClr val="accent2">
                  <a:lumMod val="6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FF0F-4A0E-B257-253CC6203D56}"/>
              </c:ext>
            </c:extLst>
          </c:dPt>
          <c:dPt>
            <c:idx val="8"/>
            <c:bubble3D val="0"/>
            <c:spPr>
              <a:solidFill>
                <a:schemeClr val="accent3">
                  <a:lumMod val="6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FF0F-4A0E-B257-253CC6203D56}"/>
              </c:ext>
            </c:extLst>
          </c:dPt>
          <c:dPt>
            <c:idx val="9"/>
            <c:bubble3D val="0"/>
            <c:spPr>
              <a:solidFill>
                <a:schemeClr val="accent4">
                  <a:lumMod val="6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FF0F-4A0E-B257-253CC6203D56}"/>
              </c:ext>
            </c:extLst>
          </c:dPt>
          <c:dPt>
            <c:idx val="10"/>
            <c:bubble3D val="0"/>
            <c:spPr>
              <a:solidFill>
                <a:schemeClr val="accent5">
                  <a:lumMod val="6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FF0F-4A0E-B257-253CC6203D56}"/>
              </c:ext>
            </c:extLst>
          </c:dPt>
          <c:dPt>
            <c:idx val="11"/>
            <c:bubble3D val="0"/>
            <c:spPr>
              <a:solidFill>
                <a:schemeClr val="accent6">
                  <a:lumMod val="6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FF0F-4A0E-B257-253CC6203D56}"/>
              </c:ext>
            </c:extLst>
          </c:dPt>
          <c:dPt>
            <c:idx val="12"/>
            <c:bubble3D val="0"/>
            <c:spPr>
              <a:solidFill>
                <a:schemeClr val="accent1">
                  <a:lumMod val="80000"/>
                  <a:lumOff val="2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FF0F-4A0E-B257-253CC6203D56}"/>
              </c:ext>
            </c:extLst>
          </c:dPt>
          <c:dPt>
            <c:idx val="13"/>
            <c:bubble3D val="0"/>
            <c:spPr>
              <a:solidFill>
                <a:schemeClr val="accent2">
                  <a:lumMod val="80000"/>
                  <a:lumOff val="2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B-FF0F-4A0E-B257-253CC6203D56}"/>
              </c:ext>
            </c:extLst>
          </c:dPt>
          <c:dPt>
            <c:idx val="14"/>
            <c:bubble3D val="0"/>
            <c:spPr>
              <a:solidFill>
                <a:schemeClr val="accent3">
                  <a:lumMod val="80000"/>
                  <a:lumOff val="2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D-FF0F-4A0E-B257-253CC6203D56}"/>
              </c:ext>
            </c:extLst>
          </c:dPt>
          <c:dPt>
            <c:idx val="15"/>
            <c:bubble3D val="0"/>
            <c:spPr>
              <a:solidFill>
                <a:schemeClr val="accent4">
                  <a:lumMod val="80000"/>
                  <a:lumOff val="2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F-FF0F-4A0E-B257-253CC6203D56}"/>
              </c:ext>
            </c:extLst>
          </c:dPt>
          <c:dPt>
            <c:idx val="16"/>
            <c:bubble3D val="0"/>
            <c:spPr>
              <a:solidFill>
                <a:schemeClr val="accent6">
                  <a:lumMod val="60000"/>
                  <a:lumOff val="4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1-FF0F-4A0E-B257-253CC6203D56}"/>
              </c:ext>
            </c:extLst>
          </c:dPt>
          <c:dLbls>
            <c:dLbl>
              <c:idx val="0"/>
              <c:layout/>
              <c:spPr>
                <a:noFill/>
                <a:ln>
                  <a:noFill/>
                </a:ln>
                <a:effectLst/>
              </c:spPr>
              <c:txPr>
                <a:bodyPr rot="0" spcFirstLastPara="1" vertOverflow="ellipsis" vert="horz" wrap="non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1-FF0F-4A0E-B257-253CC6203D56}"/>
                </c:ext>
              </c:extLst>
            </c:dLbl>
            <c:dLbl>
              <c:idx val="1"/>
              <c:layout>
                <c:manualLayout>
                  <c:x val="3.846153846153838E-2"/>
                  <c:y val="-1.0710460549803642E-2"/>
                </c:manualLayout>
              </c:layout>
              <c:spPr>
                <a:noFill/>
                <a:ln>
                  <a:noFill/>
                </a:ln>
                <a:effectLst/>
              </c:spPr>
              <c:txPr>
                <a:bodyPr rot="0" spcFirstLastPara="1" vertOverflow="ellipsis" vert="horz" wrap="non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3-FF0F-4A0E-B257-253CC6203D56}"/>
                </c:ext>
              </c:extLst>
            </c:dLbl>
            <c:dLbl>
              <c:idx val="2"/>
              <c:layout>
                <c:manualLayout>
                  <c:x val="-4.4164692179435018E-4"/>
                  <c:y val="-1.5022533800701144E-2"/>
                </c:manualLayout>
              </c:layout>
              <c:tx>
                <c:rich>
                  <a:bodyPr rot="0" spcFirstLastPara="1" vertOverflow="ellipsis" vert="horz" wrap="none" lIns="38100" tIns="19050" rIns="38100" bIns="19050" anchor="ctr" anchorCtr="1">
                    <a:spAutoFit/>
                  </a:bodyPr>
                  <a:lstStyle/>
                  <a:p>
                    <a:pPr>
                      <a:defRPr sz="1000" b="1" i="0" u="none" strike="noStrike" kern="1200" spc="0" baseline="0">
                        <a:solidFill>
                          <a:schemeClr val="bg1">
                            <a:lumMod val="50000"/>
                          </a:schemeClr>
                        </a:solidFill>
                        <a:latin typeface="+mn-lt"/>
                        <a:ea typeface="+mn-ea"/>
                        <a:cs typeface="+mn-cs"/>
                      </a:defRPr>
                    </a:pPr>
                    <a:fld id="{EC173A21-34C8-4820-951E-4DDBECCAC3C9}" type="CATEGORYNAME">
                      <a:rPr lang="en-US">
                        <a:solidFill>
                          <a:schemeClr val="bg1">
                            <a:lumMod val="50000"/>
                          </a:schemeClr>
                        </a:solidFill>
                      </a:rPr>
                      <a:pPr>
                        <a:defRPr sz="1000" b="1" i="0" u="none" strike="noStrike" kern="1200" spc="0" baseline="0">
                          <a:solidFill>
                            <a:schemeClr val="bg1">
                              <a:lumMod val="50000"/>
                            </a:schemeClr>
                          </a:solidFill>
                          <a:latin typeface="+mn-lt"/>
                          <a:ea typeface="+mn-ea"/>
                          <a:cs typeface="+mn-cs"/>
                        </a:defRPr>
                      </a:pPr>
                      <a:t>[CATEGORY NAME]</a:t>
                    </a:fld>
                    <a:r>
                      <a:rPr lang="en-US" baseline="0">
                        <a:solidFill>
                          <a:schemeClr val="bg1">
                            <a:lumMod val="50000"/>
                          </a:schemeClr>
                        </a:solidFill>
                      </a:rPr>
                      <a:t>,</a:t>
                    </a:r>
                  </a:p>
                  <a:p>
                    <a:pPr>
                      <a:defRPr sz="1000" b="1" i="0" u="none" strike="noStrike" kern="1200" spc="0" baseline="0">
                        <a:solidFill>
                          <a:schemeClr val="bg1">
                            <a:lumMod val="50000"/>
                          </a:schemeClr>
                        </a:solidFill>
                        <a:latin typeface="+mn-lt"/>
                        <a:ea typeface="+mn-ea"/>
                        <a:cs typeface="+mn-cs"/>
                      </a:defRPr>
                    </a:pPr>
                    <a:r>
                      <a:rPr lang="en-US" baseline="0">
                        <a:solidFill>
                          <a:schemeClr val="bg1">
                            <a:lumMod val="50000"/>
                          </a:schemeClr>
                        </a:solidFill>
                      </a:rPr>
                      <a:t> </a:t>
                    </a:r>
                    <a:fld id="{6ACC6D48-0AC7-4C1C-B9CB-CCBAEED6CAAA}" type="PERCENTAGE">
                      <a:rPr lang="en-US" baseline="0">
                        <a:solidFill>
                          <a:schemeClr val="bg1">
                            <a:lumMod val="50000"/>
                          </a:schemeClr>
                        </a:solidFill>
                      </a:rPr>
                      <a:pPr>
                        <a:defRPr sz="1000" b="1" i="0" u="none" strike="noStrike" kern="1200" spc="0" baseline="0">
                          <a:solidFill>
                            <a:schemeClr val="bg1">
                              <a:lumMod val="50000"/>
                            </a:schemeClr>
                          </a:solidFill>
                          <a:latin typeface="+mn-lt"/>
                          <a:ea typeface="+mn-ea"/>
                          <a:cs typeface="+mn-cs"/>
                        </a:defRPr>
                      </a:pPr>
                      <a:t>[PERCENTAGE]</a:t>
                    </a:fld>
                    <a:endParaRPr lang="en-US" baseline="0">
                      <a:solidFill>
                        <a:schemeClr val="bg1">
                          <a:lumMod val="50000"/>
                        </a:schemeClr>
                      </a:solidFill>
                    </a:endParaRPr>
                  </a:p>
                </c:rich>
              </c:tx>
              <c:spPr>
                <a:noFill/>
                <a:ln>
                  <a:no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15:layout/>
                  <c15:dlblFieldTable/>
                  <c15:showDataLabelsRange val="0"/>
                </c:ext>
                <c:ext xmlns:c16="http://schemas.microsoft.com/office/drawing/2014/chart" uri="{C3380CC4-5D6E-409C-BE32-E72D297353CC}">
                  <c16:uniqueId val="{00000005-FF0F-4A0E-B257-253CC6203D56}"/>
                </c:ext>
              </c:extLst>
            </c:dLbl>
            <c:dLbl>
              <c:idx val="3"/>
              <c:layout/>
              <c:tx>
                <c:rich>
                  <a:bodyPr rot="0" spcFirstLastPara="1" vertOverflow="ellipsis" vert="horz" wrap="none" lIns="38100" tIns="19050" rIns="38100" bIns="19050" anchor="ctr" anchorCtr="1">
                    <a:spAutoFit/>
                  </a:bodyPr>
                  <a:lstStyle/>
                  <a:p>
                    <a:pPr>
                      <a:defRPr sz="1000" b="1" i="0" u="none" strike="noStrike" kern="1200" spc="0" baseline="0">
                        <a:solidFill>
                          <a:schemeClr val="accent4">
                            <a:lumMod val="75000"/>
                          </a:schemeClr>
                        </a:solidFill>
                        <a:latin typeface="+mn-lt"/>
                        <a:ea typeface="+mn-ea"/>
                        <a:cs typeface="+mn-cs"/>
                      </a:defRPr>
                    </a:pPr>
                    <a:fld id="{34ECEB98-2848-4595-9ADC-B8C39D70D7C8}" type="CATEGORYNAME">
                      <a:rPr lang="en-US">
                        <a:solidFill>
                          <a:schemeClr val="accent4">
                            <a:lumMod val="75000"/>
                          </a:schemeClr>
                        </a:solidFill>
                      </a:rPr>
                      <a:pPr>
                        <a:defRPr sz="1000" b="1" i="0" u="none" strike="noStrike" kern="1200" spc="0" baseline="0">
                          <a:solidFill>
                            <a:schemeClr val="accent4">
                              <a:lumMod val="75000"/>
                            </a:schemeClr>
                          </a:solidFill>
                          <a:latin typeface="+mn-lt"/>
                          <a:ea typeface="+mn-ea"/>
                          <a:cs typeface="+mn-cs"/>
                        </a:defRPr>
                      </a:pPr>
                      <a:t>[CATEGORY NAME]</a:t>
                    </a:fld>
                    <a:r>
                      <a:rPr lang="en-US">
                        <a:solidFill>
                          <a:schemeClr val="accent4">
                            <a:lumMod val="75000"/>
                          </a:schemeClr>
                        </a:solidFill>
                      </a:rPr>
                      <a:t> </a:t>
                    </a:r>
                    <a:r>
                      <a:rPr lang="en-US" baseline="0">
                        <a:solidFill>
                          <a:schemeClr val="accent4">
                            <a:lumMod val="75000"/>
                          </a:schemeClr>
                        </a:solidFill>
                      </a:rPr>
                      <a:t>
</a:t>
                    </a:r>
                    <a:fld id="{0993F2C5-BD33-4E3E-A66D-10909AEC38FC}" type="PERCENTAGE">
                      <a:rPr lang="en-US" baseline="0">
                        <a:solidFill>
                          <a:schemeClr val="accent4">
                            <a:lumMod val="75000"/>
                          </a:schemeClr>
                        </a:solidFill>
                      </a:rPr>
                      <a:pPr>
                        <a:defRPr sz="1000" b="1" i="0" u="none" strike="noStrike" kern="1200" spc="0" baseline="0">
                          <a:solidFill>
                            <a:schemeClr val="accent4">
                              <a:lumMod val="75000"/>
                            </a:schemeClr>
                          </a:solidFill>
                          <a:latin typeface="+mn-lt"/>
                          <a:ea typeface="+mn-ea"/>
                          <a:cs typeface="+mn-cs"/>
                        </a:defRPr>
                      </a:pPr>
                      <a:t>[PERCENTAGE]</a:t>
                    </a:fld>
                    <a:endParaRPr lang="en-US" baseline="0">
                      <a:solidFill>
                        <a:schemeClr val="accent4">
                          <a:lumMod val="75000"/>
                        </a:schemeClr>
                      </a:solidFill>
                    </a:endParaRPr>
                  </a:p>
                </c:rich>
              </c:tx>
              <c:spPr>
                <a:noFill/>
                <a:ln>
                  <a:noFill/>
                </a:ln>
                <a:effectLst/>
              </c:spPr>
              <c:dLblPos val="outEnd"/>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15:layout/>
                  <c15:dlblFieldTable/>
                  <c15:showDataLabelsRange val="0"/>
                </c:ext>
                <c:ext xmlns:c16="http://schemas.microsoft.com/office/drawing/2014/chart" uri="{C3380CC4-5D6E-409C-BE32-E72D297353CC}">
                  <c16:uniqueId val="{00000007-FF0F-4A0E-B257-253CC6203D56}"/>
                </c:ext>
              </c:extLst>
            </c:dLbl>
            <c:dLbl>
              <c:idx val="4"/>
              <c:layout/>
              <c:spPr>
                <a:noFill/>
                <a:ln>
                  <a:noFill/>
                </a:ln>
                <a:effectLst/>
              </c:spPr>
              <c:txPr>
                <a:bodyPr rot="0" spcFirstLastPara="1" vertOverflow="ellipsis" vert="horz" wrap="non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9-FF0F-4A0E-B257-253CC6203D56}"/>
                </c:ext>
              </c:extLst>
            </c:dLbl>
            <c:dLbl>
              <c:idx val="5"/>
              <c:layout/>
              <c:spPr>
                <a:noFill/>
                <a:ln>
                  <a:noFill/>
                </a:ln>
                <a:effectLst/>
              </c:spPr>
              <c:txPr>
                <a:bodyPr rot="0" spcFirstLastPara="1" vertOverflow="ellipsis" vert="horz" wrap="non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B-FF0F-4A0E-B257-253CC6203D56}"/>
                </c:ext>
              </c:extLst>
            </c:dLbl>
            <c:dLbl>
              <c:idx val="6"/>
              <c:layout/>
              <c:spPr>
                <a:noFill/>
                <a:ln>
                  <a:noFill/>
                </a:ln>
                <a:effectLst/>
              </c:spPr>
              <c:txPr>
                <a:bodyPr rot="0" spcFirstLastPara="1" vertOverflow="ellipsis" vert="horz" wrap="non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D-FF0F-4A0E-B257-253CC6203D56}"/>
                </c:ext>
              </c:extLst>
            </c:dLbl>
            <c:dLbl>
              <c:idx val="7"/>
              <c:layout/>
              <c:spPr>
                <a:noFill/>
                <a:ln>
                  <a:noFill/>
                </a:ln>
                <a:effectLst/>
              </c:spPr>
              <c:txPr>
                <a:bodyPr rot="0" spcFirstLastPara="1" vertOverflow="ellipsis" vert="horz" wrap="non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F-FF0F-4A0E-B257-253CC6203D56}"/>
                </c:ext>
              </c:extLst>
            </c:dLbl>
            <c:dLbl>
              <c:idx val="8"/>
              <c:layout/>
              <c:spPr>
                <a:noFill/>
                <a:ln>
                  <a:noFill/>
                </a:ln>
                <a:effectLst/>
              </c:spPr>
              <c:txPr>
                <a:bodyPr rot="0" spcFirstLastPara="1" vertOverflow="ellipsis" vert="horz" wrap="non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11-FF0F-4A0E-B257-253CC6203D56}"/>
                </c:ext>
              </c:extLst>
            </c:dLbl>
            <c:dLbl>
              <c:idx val="9"/>
              <c:layout>
                <c:manualLayout>
                  <c:x val="0"/>
                  <c:y val="0"/>
                </c:manualLayout>
              </c:layout>
              <c:tx>
                <c:rich>
                  <a:bodyPr rot="0" spcFirstLastPara="1" vertOverflow="ellipsis" vert="horz" wrap="non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9C3C1BC8-C2F4-4133-9CED-44BF838BECF8}" type="CATEGORYNAME">
                      <a:rPr lang="en-US">
                        <a:solidFill>
                          <a:schemeClr val="accent4">
                            <a:lumMod val="50000"/>
                          </a:schemeClr>
                        </a:solidFill>
                      </a:rPr>
                      <a:pPr>
                        <a:defRPr sz="1000" b="1" i="0" u="none" strike="noStrike" kern="1200" spc="0" baseline="0">
                          <a:solidFill>
                            <a:schemeClr val="accent1"/>
                          </a:solidFill>
                          <a:latin typeface="+mn-lt"/>
                          <a:ea typeface="+mn-ea"/>
                          <a:cs typeface="+mn-cs"/>
                        </a:defRPr>
                      </a:pPr>
                      <a:t>[CATEGORY NAME]</a:t>
                    </a:fld>
                    <a:r>
                      <a:rPr lang="en-US" baseline="0">
                        <a:solidFill>
                          <a:schemeClr val="accent4">
                            <a:lumMod val="50000"/>
                          </a:schemeClr>
                        </a:solidFill>
                      </a:rPr>
                      <a:t>,</a:t>
                    </a:r>
                  </a:p>
                  <a:p>
                    <a:pPr>
                      <a:defRPr sz="1000" b="1" i="0" u="none" strike="noStrike" kern="1200" spc="0" baseline="0">
                        <a:solidFill>
                          <a:schemeClr val="accent1"/>
                        </a:solidFill>
                        <a:latin typeface="+mn-lt"/>
                        <a:ea typeface="+mn-ea"/>
                        <a:cs typeface="+mn-cs"/>
                      </a:defRPr>
                    </a:pPr>
                    <a:r>
                      <a:rPr lang="en-US" baseline="0">
                        <a:solidFill>
                          <a:schemeClr val="accent4">
                            <a:lumMod val="50000"/>
                          </a:schemeClr>
                        </a:solidFill>
                      </a:rPr>
                      <a:t> </a:t>
                    </a:r>
                    <a:fld id="{A1D0C6B0-440E-4F22-BB1B-19E7C58FDB69}" type="PERCENTAGE">
                      <a:rPr lang="en-US" baseline="0">
                        <a:solidFill>
                          <a:schemeClr val="accent4">
                            <a:lumMod val="50000"/>
                          </a:schemeClr>
                        </a:solidFill>
                      </a:rPr>
                      <a:pPr>
                        <a:defRPr sz="1000" b="1" i="0" u="none" strike="noStrike" kern="1200" spc="0" baseline="0">
                          <a:solidFill>
                            <a:schemeClr val="accent1"/>
                          </a:solidFill>
                          <a:latin typeface="+mn-lt"/>
                          <a:ea typeface="+mn-ea"/>
                          <a:cs typeface="+mn-cs"/>
                        </a:defRPr>
                      </a:pPr>
                      <a:t>[PERCENTAGE]</a:t>
                    </a:fld>
                    <a:endParaRPr lang="en-US" baseline="0">
                      <a:solidFill>
                        <a:schemeClr val="accent4">
                          <a:lumMod val="50000"/>
                        </a:schemeClr>
                      </a:solidFill>
                    </a:endParaRPr>
                  </a:p>
                </c:rich>
              </c:tx>
              <c:spPr>
                <a:noFill/>
                <a:ln>
                  <a:no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15:layout/>
                  <c15:dlblFieldTable/>
                  <c15:showDataLabelsRange val="0"/>
                </c:ext>
                <c:ext xmlns:c16="http://schemas.microsoft.com/office/drawing/2014/chart" uri="{C3380CC4-5D6E-409C-BE32-E72D297353CC}">
                  <c16:uniqueId val="{00000013-FF0F-4A0E-B257-253CC6203D56}"/>
                </c:ext>
              </c:extLst>
            </c:dLbl>
            <c:dLbl>
              <c:idx val="10"/>
              <c:layout/>
              <c:spPr>
                <a:noFill/>
                <a:ln>
                  <a:noFill/>
                </a:ln>
                <a:effectLst/>
              </c:spPr>
              <c:txPr>
                <a:bodyPr rot="0" spcFirstLastPara="1" vertOverflow="ellipsis" vert="horz" wrap="non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15-FF0F-4A0E-B257-253CC6203D56}"/>
                </c:ext>
              </c:extLst>
            </c:dLbl>
            <c:dLbl>
              <c:idx val="11"/>
              <c:layout>
                <c:manualLayout>
                  <c:x val="-2.2506601568420968E-2"/>
                  <c:y val="8.472551346705097E-3"/>
                </c:manualLayout>
              </c:layout>
              <c:spPr>
                <a:noFill/>
                <a:ln>
                  <a:noFill/>
                </a:ln>
                <a:effectLst/>
              </c:spPr>
              <c:txPr>
                <a:bodyPr rot="0" spcFirstLastPara="1" vertOverflow="ellipsis" vert="horz" wrap="non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17-FF0F-4A0E-B257-253CC6203D56}"/>
                </c:ext>
              </c:extLst>
            </c:dLbl>
            <c:dLbl>
              <c:idx val="12"/>
              <c:layout>
                <c:manualLayout>
                  <c:x val="-2.8693487782112344E-2"/>
                  <c:y val="2.2487274218414236E-2"/>
                </c:manualLayout>
              </c:layout>
              <c:spPr>
                <a:noFill/>
                <a:ln>
                  <a:noFill/>
                </a:ln>
                <a:effectLst/>
              </c:spPr>
              <c:txPr>
                <a:bodyPr rot="0" spcFirstLastPara="1" vertOverflow="ellipsis" vert="horz" wrap="none" lIns="38100" tIns="19050" rIns="38100" bIns="19050" anchor="ctr" anchorCtr="1">
                  <a:spAutoFit/>
                </a:bodyPr>
                <a:lstStyle/>
                <a:p>
                  <a:pPr>
                    <a:defRPr sz="1000" b="1" i="0" u="none" strike="noStrike" kern="1200" spc="0" baseline="0">
                      <a:solidFill>
                        <a:schemeClr val="accent1">
                          <a:lumMod val="80000"/>
                          <a:lumOff val="20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19-FF0F-4A0E-B257-253CC6203D56}"/>
                </c:ext>
              </c:extLst>
            </c:dLbl>
            <c:dLbl>
              <c:idx val="13"/>
              <c:layout>
                <c:manualLayout>
                  <c:x val="-0.10897435897435902"/>
                  <c:y val="1.4280614066404856E-2"/>
                </c:manualLayout>
              </c:layout>
              <c:spPr>
                <a:noFill/>
                <a:ln>
                  <a:noFill/>
                </a:ln>
                <a:effectLst/>
              </c:spPr>
              <c:txPr>
                <a:bodyPr rot="0" spcFirstLastPara="1" vertOverflow="ellipsis" vert="horz" wrap="none" lIns="38100" tIns="19050" rIns="38100" bIns="19050" anchor="ctr" anchorCtr="1">
                  <a:spAutoFit/>
                </a:bodyPr>
                <a:lstStyle/>
                <a:p>
                  <a:pPr>
                    <a:defRPr sz="1000" b="1" i="0" u="none" strike="noStrike" kern="1200" spc="0" baseline="0">
                      <a:solidFill>
                        <a:schemeClr val="accent2">
                          <a:lumMod val="80000"/>
                          <a:lumOff val="20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1B-FF0F-4A0E-B257-253CC6203D56}"/>
                </c:ext>
              </c:extLst>
            </c:dLbl>
            <c:dLbl>
              <c:idx val="14"/>
              <c:layout>
                <c:manualLayout>
                  <c:x val="-4.5438735051735554E-2"/>
                  <c:y val="-7.464740417713161E-3"/>
                </c:manualLayout>
              </c:layout>
              <c:tx>
                <c:rich>
                  <a:bodyPr rot="0" spcFirstLastPara="1" vertOverflow="ellipsis" vert="horz" wrap="none" lIns="38100" tIns="19050" rIns="38100" bIns="19050" anchor="ctr" anchorCtr="1">
                    <a:spAutoFit/>
                  </a:bodyPr>
                  <a:lstStyle/>
                  <a:p>
                    <a:pPr>
                      <a:defRPr sz="1000" b="1" i="0" u="none" strike="noStrike" kern="1200" spc="0" baseline="0">
                        <a:solidFill>
                          <a:schemeClr val="accent3">
                            <a:lumMod val="80000"/>
                            <a:lumOff val="20000"/>
                          </a:schemeClr>
                        </a:solidFill>
                        <a:latin typeface="+mn-lt"/>
                        <a:ea typeface="+mn-ea"/>
                        <a:cs typeface="+mn-cs"/>
                      </a:defRPr>
                    </a:pPr>
                    <a:fld id="{BA912F64-973E-4450-A2E1-F2E4677AA544}" type="CATEGORYNAME">
                      <a:rPr lang="en-US">
                        <a:solidFill>
                          <a:schemeClr val="bg1">
                            <a:lumMod val="65000"/>
                          </a:schemeClr>
                        </a:solidFill>
                      </a:rPr>
                      <a:pPr>
                        <a:defRPr sz="1000" b="1" i="0" u="none" strike="noStrike" kern="1200" spc="0" baseline="0">
                          <a:solidFill>
                            <a:schemeClr val="accent3">
                              <a:lumMod val="80000"/>
                              <a:lumOff val="20000"/>
                            </a:schemeClr>
                          </a:solidFill>
                          <a:latin typeface="+mn-lt"/>
                          <a:ea typeface="+mn-ea"/>
                          <a:cs typeface="+mn-cs"/>
                        </a:defRPr>
                      </a:pPr>
                      <a:t>[CATEGORY NAME]</a:t>
                    </a:fld>
                    <a:r>
                      <a:rPr lang="en-US" baseline="0">
                        <a:solidFill>
                          <a:schemeClr val="bg1">
                            <a:lumMod val="65000"/>
                          </a:schemeClr>
                        </a:solidFill>
                      </a:rPr>
                      <a:t>, </a:t>
                    </a:r>
                    <a:fld id="{CB7634E7-4B1C-4339-AB58-EB911439F143}" type="PERCENTAGE">
                      <a:rPr lang="en-US" baseline="0">
                        <a:solidFill>
                          <a:schemeClr val="bg1">
                            <a:lumMod val="65000"/>
                          </a:schemeClr>
                        </a:solidFill>
                      </a:rPr>
                      <a:pPr>
                        <a:defRPr sz="1000" b="1" i="0" u="none" strike="noStrike" kern="1200" spc="0" baseline="0">
                          <a:solidFill>
                            <a:schemeClr val="accent3">
                              <a:lumMod val="80000"/>
                              <a:lumOff val="20000"/>
                            </a:schemeClr>
                          </a:solidFill>
                          <a:latin typeface="+mn-lt"/>
                          <a:ea typeface="+mn-ea"/>
                          <a:cs typeface="+mn-cs"/>
                        </a:defRPr>
                      </a:pPr>
                      <a:t>[PERCENTAGE]</a:t>
                    </a:fld>
                    <a:endParaRPr lang="en-US" baseline="0">
                      <a:solidFill>
                        <a:schemeClr val="bg1">
                          <a:lumMod val="65000"/>
                        </a:schemeClr>
                      </a:solidFill>
                    </a:endParaRPr>
                  </a:p>
                </c:rich>
              </c:tx>
              <c:spPr>
                <a:noFill/>
                <a:ln>
                  <a:no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15:layout/>
                  <c15:dlblFieldTable/>
                  <c15:showDataLabelsRange val="0"/>
                </c:ext>
                <c:ext xmlns:c16="http://schemas.microsoft.com/office/drawing/2014/chart" uri="{C3380CC4-5D6E-409C-BE32-E72D297353CC}">
                  <c16:uniqueId val="{0000001D-FF0F-4A0E-B257-253CC6203D56}"/>
                </c:ext>
              </c:extLst>
            </c:dLbl>
            <c:dLbl>
              <c:idx val="15"/>
              <c:layout>
                <c:manualLayout>
                  <c:x val="-6.6460203112908761E-2"/>
                  <c:y val="-3.4124809261135799E-2"/>
                </c:manualLayout>
              </c:layout>
              <c:tx>
                <c:rich>
                  <a:bodyPr rot="0" spcFirstLastPara="1" vertOverflow="ellipsis" vert="horz" wrap="none" lIns="38100" tIns="19050" rIns="38100" bIns="19050" anchor="ctr" anchorCtr="1">
                    <a:spAutoFit/>
                  </a:bodyPr>
                  <a:lstStyle/>
                  <a:p>
                    <a:pPr>
                      <a:defRPr sz="1000" b="1" i="0" u="none" strike="noStrike" kern="1200" spc="0" baseline="0">
                        <a:solidFill>
                          <a:schemeClr val="accent4">
                            <a:lumMod val="80000"/>
                            <a:lumOff val="20000"/>
                          </a:schemeClr>
                        </a:solidFill>
                        <a:latin typeface="+mn-lt"/>
                        <a:ea typeface="+mn-ea"/>
                        <a:cs typeface="+mn-cs"/>
                      </a:defRPr>
                    </a:pPr>
                    <a:fld id="{E1C6BEA4-4D40-456B-8B44-20DCD6DA4C0B}" type="CATEGORYNAME">
                      <a:rPr lang="en-US">
                        <a:solidFill>
                          <a:schemeClr val="accent4">
                            <a:lumMod val="75000"/>
                          </a:schemeClr>
                        </a:solidFill>
                      </a:rPr>
                      <a:pPr>
                        <a:defRPr sz="1000" b="1" i="0" u="none" strike="noStrike" kern="1200" spc="0" baseline="0">
                          <a:solidFill>
                            <a:schemeClr val="accent4">
                              <a:lumMod val="80000"/>
                              <a:lumOff val="20000"/>
                            </a:schemeClr>
                          </a:solidFill>
                          <a:latin typeface="+mn-lt"/>
                          <a:ea typeface="+mn-ea"/>
                          <a:cs typeface="+mn-cs"/>
                        </a:defRPr>
                      </a:pPr>
                      <a:t>[CATEGORY NAME]</a:t>
                    </a:fld>
                    <a:r>
                      <a:rPr lang="en-US" baseline="0">
                        <a:solidFill>
                          <a:schemeClr val="accent4">
                            <a:lumMod val="75000"/>
                          </a:schemeClr>
                        </a:solidFill>
                      </a:rPr>
                      <a:t>, </a:t>
                    </a:r>
                    <a:fld id="{662625FF-59BE-480E-86B5-BAF4DE1F780C}" type="PERCENTAGE">
                      <a:rPr lang="en-US" baseline="0">
                        <a:solidFill>
                          <a:schemeClr val="accent4">
                            <a:lumMod val="75000"/>
                          </a:schemeClr>
                        </a:solidFill>
                      </a:rPr>
                      <a:pPr>
                        <a:defRPr sz="1000" b="1" i="0" u="none" strike="noStrike" kern="1200" spc="0" baseline="0">
                          <a:solidFill>
                            <a:schemeClr val="accent4">
                              <a:lumMod val="80000"/>
                              <a:lumOff val="20000"/>
                            </a:schemeClr>
                          </a:solidFill>
                          <a:latin typeface="+mn-lt"/>
                          <a:ea typeface="+mn-ea"/>
                          <a:cs typeface="+mn-cs"/>
                        </a:defRPr>
                      </a:pPr>
                      <a:t>[PERCENTAGE]</a:t>
                    </a:fld>
                    <a:endParaRPr lang="en-US" baseline="0">
                      <a:solidFill>
                        <a:schemeClr val="accent4">
                          <a:lumMod val="75000"/>
                        </a:schemeClr>
                      </a:solidFill>
                    </a:endParaRPr>
                  </a:p>
                </c:rich>
              </c:tx>
              <c:spPr>
                <a:noFill/>
                <a:ln>
                  <a:no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15:layout/>
                  <c15:dlblFieldTable/>
                  <c15:showDataLabelsRange val="0"/>
                </c:ext>
                <c:ext xmlns:c16="http://schemas.microsoft.com/office/drawing/2014/chart" uri="{C3380CC4-5D6E-409C-BE32-E72D297353CC}">
                  <c16:uniqueId val="{0000001F-FF0F-4A0E-B257-253CC6203D56}"/>
                </c:ext>
              </c:extLst>
            </c:dLbl>
            <c:dLbl>
              <c:idx val="16"/>
              <c:layout>
                <c:manualLayout>
                  <c:x val="6.4102564102564097E-2"/>
                  <c:y val="-1.4280614066404856E-2"/>
                </c:manualLayout>
              </c:layout>
              <c:tx>
                <c:rich>
                  <a:bodyPr rot="0" spcFirstLastPara="1" vertOverflow="ellipsis" vert="horz" wrap="none" lIns="38100" tIns="19050" rIns="38100" bIns="19050" anchor="ctr" anchorCtr="1">
                    <a:spAutoFit/>
                  </a:bodyPr>
                  <a:lstStyle/>
                  <a:p>
                    <a:pPr>
                      <a:defRPr sz="1000" b="1" i="0" u="none" strike="noStrike" kern="1200" spc="0" baseline="0">
                        <a:solidFill>
                          <a:schemeClr val="accent5">
                            <a:lumMod val="80000"/>
                            <a:lumOff val="20000"/>
                          </a:schemeClr>
                        </a:solidFill>
                        <a:latin typeface="+mn-lt"/>
                        <a:ea typeface="+mn-ea"/>
                        <a:cs typeface="+mn-cs"/>
                      </a:defRPr>
                    </a:pPr>
                    <a:fld id="{334124A9-45E7-41AC-A72C-9F37C512E794}" type="CATEGORYNAME">
                      <a:rPr lang="en-US">
                        <a:solidFill>
                          <a:schemeClr val="accent6">
                            <a:lumMod val="75000"/>
                          </a:schemeClr>
                        </a:solidFill>
                      </a:rPr>
                      <a:pPr>
                        <a:defRPr sz="1000" b="1" i="0" u="none" strike="noStrike" kern="1200" spc="0" baseline="0">
                          <a:solidFill>
                            <a:schemeClr val="accent5">
                              <a:lumMod val="80000"/>
                              <a:lumOff val="20000"/>
                            </a:schemeClr>
                          </a:solidFill>
                          <a:latin typeface="+mn-lt"/>
                          <a:ea typeface="+mn-ea"/>
                          <a:cs typeface="+mn-cs"/>
                        </a:defRPr>
                      </a:pPr>
                      <a:t>[CATEGORY NAME]</a:t>
                    </a:fld>
                    <a:r>
                      <a:rPr lang="en-US" baseline="0">
                        <a:solidFill>
                          <a:schemeClr val="accent6">
                            <a:lumMod val="75000"/>
                          </a:schemeClr>
                        </a:solidFill>
                      </a:rPr>
                      <a:t>, </a:t>
                    </a:r>
                    <a:fld id="{435F5622-9A2A-472A-B2E5-F8DAFCDC7FF3}" type="PERCENTAGE">
                      <a:rPr lang="en-US" baseline="0">
                        <a:solidFill>
                          <a:schemeClr val="accent6">
                            <a:lumMod val="75000"/>
                          </a:schemeClr>
                        </a:solidFill>
                      </a:rPr>
                      <a:pPr>
                        <a:defRPr sz="1000" b="1" i="0" u="none" strike="noStrike" kern="1200" spc="0" baseline="0">
                          <a:solidFill>
                            <a:schemeClr val="accent5">
                              <a:lumMod val="80000"/>
                              <a:lumOff val="20000"/>
                            </a:schemeClr>
                          </a:solidFill>
                          <a:latin typeface="+mn-lt"/>
                          <a:ea typeface="+mn-ea"/>
                          <a:cs typeface="+mn-cs"/>
                        </a:defRPr>
                      </a:pPr>
                      <a:t>[PERCENTAGE]</a:t>
                    </a:fld>
                    <a:endParaRPr lang="en-US" baseline="0">
                      <a:solidFill>
                        <a:schemeClr val="accent6">
                          <a:lumMod val="75000"/>
                        </a:schemeClr>
                      </a:solidFill>
                    </a:endParaRPr>
                  </a:p>
                </c:rich>
              </c:tx>
              <c:spPr>
                <a:noFill/>
                <a:ln>
                  <a:no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15:layout/>
                  <c15:dlblFieldTable/>
                  <c15:showDataLabelsRange val="0"/>
                </c:ext>
                <c:ext xmlns:c16="http://schemas.microsoft.com/office/drawing/2014/chart" uri="{C3380CC4-5D6E-409C-BE32-E72D297353CC}">
                  <c16:uniqueId val="{00000021-FF0F-4A0E-B257-253CC6203D56}"/>
                </c:ext>
              </c:extLst>
            </c:dLbl>
            <c:spPr>
              <a:noFill/>
              <a:ln>
                <a:noFill/>
              </a:ln>
              <a:effectLst/>
            </c:sp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Sheet1!$A$2:$A$18</c:f>
              <c:strCache>
                <c:ptCount val="17"/>
                <c:pt idx="0">
                  <c:v>Access to Services</c:v>
                </c:pt>
                <c:pt idx="1">
                  <c:v>Advocacy</c:v>
                </c:pt>
                <c:pt idx="2">
                  <c:v>Access to Public Places</c:v>
                </c:pt>
                <c:pt idx="3">
                  <c:v>Transportation</c:v>
                </c:pt>
                <c:pt idx="4">
                  <c:v>IL Skills</c:v>
                </c:pt>
                <c:pt idx="5">
                  <c:v>Access to Education</c:v>
                </c:pt>
                <c:pt idx="6">
                  <c:v>Housing</c:v>
                </c:pt>
                <c:pt idx="7">
                  <c:v>Civic Engagement</c:v>
                </c:pt>
                <c:pt idx="8">
                  <c:v>Peer Support</c:v>
                </c:pt>
                <c:pt idx="9">
                  <c:v>Reduce discrimination</c:v>
                </c:pt>
                <c:pt idx="10">
                  <c:v>Assistive Technology</c:v>
                </c:pt>
                <c:pt idx="11">
                  <c:v>Employment</c:v>
                </c:pt>
                <c:pt idx="12">
                  <c:v>Healthcare</c:v>
                </c:pt>
                <c:pt idx="13">
                  <c:v>Mobility</c:v>
                </c:pt>
                <c:pt idx="14">
                  <c:v>Nursing home emancipation</c:v>
                </c:pt>
                <c:pt idx="15">
                  <c:v>Physical Env. Design</c:v>
                </c:pt>
                <c:pt idx="16">
                  <c:v>Other Goal Areas</c:v>
                </c:pt>
              </c:strCache>
            </c:strRef>
          </c:cat>
          <c:val>
            <c:numRef>
              <c:f>Sheet1!$B$2:$B$18</c:f>
              <c:numCache>
                <c:formatCode>General</c:formatCode>
                <c:ptCount val="17"/>
                <c:pt idx="0">
                  <c:v>44</c:v>
                </c:pt>
                <c:pt idx="1">
                  <c:v>32</c:v>
                </c:pt>
                <c:pt idx="2">
                  <c:v>30</c:v>
                </c:pt>
                <c:pt idx="3">
                  <c:v>30</c:v>
                </c:pt>
                <c:pt idx="4">
                  <c:v>26</c:v>
                </c:pt>
                <c:pt idx="5">
                  <c:v>21</c:v>
                </c:pt>
                <c:pt idx="6">
                  <c:v>14</c:v>
                </c:pt>
                <c:pt idx="7">
                  <c:v>13</c:v>
                </c:pt>
                <c:pt idx="8">
                  <c:v>13</c:v>
                </c:pt>
                <c:pt idx="9">
                  <c:v>11</c:v>
                </c:pt>
                <c:pt idx="10">
                  <c:v>10</c:v>
                </c:pt>
                <c:pt idx="11">
                  <c:v>10</c:v>
                </c:pt>
                <c:pt idx="12">
                  <c:v>10</c:v>
                </c:pt>
                <c:pt idx="13">
                  <c:v>9</c:v>
                </c:pt>
                <c:pt idx="14">
                  <c:v>6</c:v>
                </c:pt>
                <c:pt idx="15">
                  <c:v>6</c:v>
                </c:pt>
                <c:pt idx="16">
                  <c:v>14</c:v>
                </c:pt>
              </c:numCache>
            </c:numRef>
          </c:val>
          <c:extLst>
            <c:ext xmlns:c16="http://schemas.microsoft.com/office/drawing/2014/chart" uri="{C3380CC4-5D6E-409C-BE32-E72D297353CC}">
              <c16:uniqueId val="{00000022-FF0F-4A0E-B257-253CC6203D56}"/>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24342-EA39-4BD8-8190-757E8C03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12</Pages>
  <Words>4513</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Jeffrey M</dc:creator>
  <cp:keywords/>
  <dc:description/>
  <cp:lastModifiedBy>Renault, Val</cp:lastModifiedBy>
  <cp:revision>5</cp:revision>
  <cp:lastPrinted>2016-08-25T14:54:00Z</cp:lastPrinted>
  <dcterms:created xsi:type="dcterms:W3CDTF">2016-09-07T20:25:00Z</dcterms:created>
  <dcterms:modified xsi:type="dcterms:W3CDTF">2016-09-08T14:15:00Z</dcterms:modified>
</cp:coreProperties>
</file>